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40" w:after="140"/>
      </w:pPr>
      <w:r>
        <w:rPr>
          <w:rFonts w:ascii="Avenir" w:hAnsi="Avenir" w:eastAsia="Avenir" w:cs="Avenir"/>
          <w:b/>
          <w:color w:val="B83C72"/>
          <w:sz w:val="18"/>
        </w:rPr>
        <w:t>PIPPA / CLINICAL AI OVERVIEW</w:t>
      </w:r>
    </w:p>
    <w:p>
      <w:pPr>
        <w:spacing w:after="120"/>
      </w:pPr>
      <w:r>
        <w:rPr>
          <w:rFonts w:ascii="Avenir" w:hAnsi="Avenir" w:eastAsia="Avenir" w:cs="Avenir"/>
          <w:b/>
          <w:color w:val="3A1A28"/>
          <w:sz w:val="52"/>
        </w:rPr>
        <w:t>How Pippa uses</w:t>
        <w:br/>
        <w:t>artificial intelligence</w:t>
      </w:r>
    </w:p>
    <w:p>
      <w:pPr>
        <w:spacing w:after="200"/>
      </w:pPr>
      <w:r>
        <w:rPr>
          <w:rFonts w:ascii="Avenir" w:hAnsi="Avenir" w:eastAsia="Avenir" w:cs="Avenir"/>
          <w:color w:val="6E4A5A"/>
          <w:sz w:val="24"/>
        </w:rPr>
        <w:t>Food-image analysis, supportive chat, and pattern-based care signals</w:t>
      </w:r>
    </w:p>
    <w:p>
      <w:pPr>
        <w:spacing w:after="260"/>
      </w:pPr>
      <w:r>
        <w:rPr>
          <w:rFonts w:ascii="Avenir" w:hAnsi="Avenir" w:eastAsia="Avenir" w:cs="Avenir"/>
          <w:color w:val="6E4A5A"/>
          <w:sz w:val="19"/>
        </w:rPr>
        <w:t>Prepared for dietitians and eating-disorder clinicians | August 2026</w:t>
      </w:r>
    </w:p>
    <w:p>
      <w:pPr>
        <w:spacing w:before="60" w:after="160" w:line="269" w:lineRule="auto"/>
      </w:pPr>
      <w:r>
        <w:rPr>
          <w:rFonts w:ascii="Avenir" w:hAnsi="Avenir" w:eastAsia="Avenir" w:cs="Avenir"/>
          <w:b/>
          <w:color w:val="F84B96"/>
          <w:sz w:val="21"/>
        </w:rPr>
        <w:t xml:space="preserve">In one sentence: </w:t>
      </w:r>
      <w:r>
        <w:rPr>
          <w:rFonts w:ascii="Avenir" w:hAnsi="Avenir" w:eastAsia="Avenir" w:cs="Avenir"/>
          <w:color w:val="3A1A28"/>
          <w:sz w:val="21"/>
        </w:rPr>
        <w:t>Pippa combines existing vision and language models with phone-camera/AR signals, a curated food-nutrition dictionary, explicit uncertainty handling, and clinician oversight to reduce logging burden and surface useful between-session patterns.</w:t>
      </w:r>
    </w:p>
    <w:p>
      <w:r>
        <w:rPr>
          <w:rFonts w:ascii="Avenir" w:hAnsi="Avenir" w:eastAsia="Avenir" w:cs="Avenir"/>
        </w:rPr>
        <w:t>This document explains the approach in plain clinical language and links to the technical and clinical literature behind it. It is a product overview, not an independent validation study, clinical protocol, or regulatory determination.</w:t>
      </w:r>
    </w:p>
    <w:p>
      <w:pPr>
        <w:pStyle w:val="Heading1"/>
        <w:keepNext/>
      </w:pPr>
      <w:r>
        <w:rPr>
          <w:rFonts w:ascii="Avenir" w:hAnsi="Avenir" w:eastAsia="Avenir" w:cs="Avenir"/>
        </w:rPr>
        <w:t>Executive summary</w:t>
      </w:r>
    </w:p>
    <w:p>
      <w:r>
        <w:rPr>
          <w:rFonts w:ascii="Avenir" w:hAnsi="Avenir" w:eastAsia="Avenir" w:cs="Avenir"/>
        </w:rPr>
        <w:t>Pippa does not train a general-purpose foundation model from scratch. It builds a recovery-focused application layer on top of existing computer-vision and language models. The application layer supplies the workflow, domain vocabulary, safety rules, consent controls, and clinician-facing interpretation.</w:t>
      </w:r>
    </w:p>
    <w:p>
      <w:pPr>
        <w:numPr>
          <w:ilvl w:val="0"/>
          <w:numId w:val="10"/>
        </w:numPr>
        <w:spacing w:after="110" w:line="269" w:lineRule="auto"/>
      </w:pPr>
      <w:r>
        <w:rPr>
          <w:rFonts w:ascii="Avenir" w:hAnsi="Avenir" w:eastAsia="Avenir" w:cs="Avenir"/>
          <w:b/>
          <w:color w:val="B83C72"/>
        </w:rPr>
        <w:t>Food recognition:</w:t>
      </w:r>
      <w:r>
        <w:rPr>
          <w:rFonts w:ascii="Avenir" w:hAnsi="Avenir" w:eastAsia="Avenir" w:cs="Avenir"/>
        </w:rPr>
        <w:t xml:space="preserve"> a model converts a meal image into candidate foods, each with a confidence score. Confidence is used to decide whether to accept a likely label, ask the user a clarifying question, consult an approved external source, or abstain.</w:t>
      </w:r>
    </w:p>
    <w:p>
      <w:pPr>
        <w:numPr>
          <w:ilvl w:val="0"/>
          <w:numId w:val="10"/>
        </w:numPr>
        <w:spacing w:after="110" w:line="269" w:lineRule="auto"/>
      </w:pPr>
      <w:r>
        <w:rPr>
          <w:rFonts w:ascii="Avenir" w:hAnsi="Avenir" w:eastAsia="Avenir" w:cs="Avenir"/>
          <w:b/>
          <w:color w:val="B83C72"/>
        </w:rPr>
        <w:t>Portion estimation:</w:t>
      </w:r>
      <w:r>
        <w:rPr>
          <w:rFonts w:ascii="Avenir" w:hAnsi="Avenir" w:eastAsia="Avenir" w:cs="Avenir"/>
        </w:rPr>
        <w:t xml:space="preserve"> camera geometry, reference objects, plate dimensions, and device depth/AR data can improve estimates of physical size. Portion size is still an estimate, especially for mixed dishes, sauces, soups, and foods with variable density.</w:t>
      </w:r>
    </w:p>
    <w:p>
      <w:pPr>
        <w:numPr>
          <w:ilvl w:val="0"/>
          <w:numId w:val="10"/>
        </w:numPr>
        <w:spacing w:after="110" w:line="269" w:lineRule="auto"/>
      </w:pPr>
      <w:r>
        <w:rPr>
          <w:rFonts w:ascii="Avenir" w:hAnsi="Avenir" w:eastAsia="Avenir" w:cs="Avenir"/>
          <w:b/>
          <w:color w:val="B83C72"/>
        </w:rPr>
        <w:t>Nutrition mapping:</w:t>
      </w:r>
      <w:r>
        <w:rPr>
          <w:rFonts w:ascii="Avenir" w:hAnsi="Avenir" w:eastAsia="Avenir" w:cs="Avenir"/>
        </w:rPr>
        <w:t xml:space="preserve"> the confirmed food identity and estimated mass are mapped to a curated nutrient dictionary, such as USDA FoodData Central. Energy estimates can remain blinded from the patient and visible only in clinician-authorized views.</w:t>
      </w:r>
    </w:p>
    <w:p>
      <w:pPr>
        <w:numPr>
          <w:ilvl w:val="0"/>
          <w:numId w:val="10"/>
        </w:numPr>
        <w:spacing w:after="110" w:line="269" w:lineRule="auto"/>
      </w:pPr>
      <w:r>
        <w:rPr>
          <w:rFonts w:ascii="Avenir" w:hAnsi="Avenir" w:eastAsia="Avenir" w:cs="Avenir"/>
          <w:b/>
          <w:color w:val="B83C72"/>
        </w:rPr>
        <w:t>Supportive chat:</w:t>
      </w:r>
      <w:r>
        <w:rPr>
          <w:rFonts w:ascii="Avenir" w:hAnsi="Avenir" w:eastAsia="Avenir" w:cs="Avenir"/>
        </w:rPr>
        <w:t xml:space="preserve"> a language model generates recovery-oriented conversation within a narrow scope. Separate rules and classifiers look for crisis language and route the user toward real people and resources.</w:t>
      </w:r>
    </w:p>
    <w:p>
      <w:pPr>
        <w:numPr>
          <w:ilvl w:val="0"/>
          <w:numId w:val="10"/>
        </w:numPr>
        <w:spacing w:after="110" w:line="269" w:lineRule="auto"/>
      </w:pPr>
      <w:r>
        <w:rPr>
          <w:rFonts w:ascii="Avenir" w:hAnsi="Avenir" w:eastAsia="Avenir" w:cs="Avenir"/>
          <w:b/>
          <w:color w:val="B83C72"/>
        </w:rPr>
        <w:t>Pattern signals:</w:t>
      </w:r>
      <w:r>
        <w:rPr>
          <w:rFonts w:ascii="Avenir" w:hAnsi="Avenir" w:eastAsia="Avenir" w:cs="Avenir"/>
        </w:rPr>
        <w:t xml:space="preserve"> Pippa looks for changes over time - such as repeated missed meal logs, worsening check-in responses, abrupt deviations from a patient's baseline, or concerning chat language - and can surface a reason-coded signal for clinical review.</w:t>
      </w:r>
    </w:p>
    <w:p>
      <w:pPr>
        <w:spacing w:before="60" w:after="160" w:line="269" w:lineRule="auto"/>
      </w:pPr>
      <w:r>
        <w:rPr>
          <w:rFonts w:ascii="Avenir" w:hAnsi="Avenir" w:eastAsia="Avenir" w:cs="Avenir"/>
          <w:b/>
          <w:color w:val="F84B96"/>
          <w:sz w:val="21"/>
        </w:rPr>
        <w:t xml:space="preserve">Recovery-first design: </w:t>
      </w:r>
      <w:r>
        <w:rPr>
          <w:rFonts w:ascii="Avenir" w:hAnsi="Avenir" w:eastAsia="Avenir" w:cs="Avenir"/>
          <w:color w:val="3A1A28"/>
          <w:sz w:val="21"/>
        </w:rPr>
        <w:t>Calorie and weight-loss feedback common in consumer nutrition apps can be harmful or counter-therapeutic in eating-disorder care. Pippa's patient experience is designed so numerical energy estimates can remain hidden, while a clinician may use the underlying information when appropriate for the care plan.</w:t>
      </w:r>
    </w:p>
    <w:p>
      <w:pPr>
        <w:pStyle w:val="Heading1"/>
        <w:keepNext/>
      </w:pPr>
      <w:r>
        <w:rPr>
          <w:rFonts w:ascii="Avenir" w:hAnsi="Avenir" w:eastAsia="Avenir" w:cs="Avenir"/>
        </w:rPr>
        <w:t>1. How image-recognition models work</w:t>
      </w:r>
    </w:p>
    <w:p>
      <w:r>
        <w:rPr>
          <w:rFonts w:ascii="Avenir" w:hAnsi="Avenir" w:eastAsia="Avenir" w:cs="Avenir"/>
        </w:rPr>
        <w:t>A modern image-recognition system receives a grid of pixels and transforms it into a compact numerical representation. Earlier systems commonly used convolutional neural networks; many current systems use vision transformers or multimodal vision-language models. These models learn visual patterns during pretraining and can then transfer those patterns to a narrower task such as recognizing food.</w:t>
      </w:r>
      <w:r>
        <w:rPr>
          <w:rFonts w:ascii="Avenir" w:hAnsi="Avenir" w:eastAsia="Avenir" w:cs="Avenir"/>
        </w:rPr>
        <w:t xml:space="preserve"> </w:t>
      </w:r>
      <w:hyperlink r:id="rId11">
        <w:r>
          <w:rPr>
            <w:rFonts w:ascii="Avenir" w:hAnsi="Avenir" w:eastAsia="Avenir" w:cs="Avenir"/>
            <w:color w:val="B83C72"/>
            <w:sz w:val="16"/>
            <w:vertAlign w:val="superscript"/>
          </w:rPr>
          <w:t>[1]</w:t>
        </w:r>
      </w:hyperlink>
      <w:r>
        <w:rPr>
          <w:rFonts w:ascii="Avenir" w:hAnsi="Avenir" w:eastAsia="Avenir" w:cs="Avenir"/>
        </w:rPr>
        <w:t xml:space="preserve"> </w:t>
      </w:r>
      <w:hyperlink r:id="rId12">
        <w:r>
          <w:rPr>
            <w:rFonts w:ascii="Avenir" w:hAnsi="Avenir" w:eastAsia="Avenir" w:cs="Avenir"/>
            <w:color w:val="B83C72"/>
            <w:sz w:val="16"/>
            <w:vertAlign w:val="superscript"/>
          </w:rPr>
          <w:t>[2]</w:t>
        </w:r>
      </w:hyperlink>
      <w:r>
        <w:rPr>
          <w:rFonts w:ascii="Avenir" w:hAnsi="Avenir" w:eastAsia="Avenir" w:cs="Avenir"/>
        </w:rPr>
        <w:t xml:space="preserve"> </w:t>
      </w:r>
      <w:hyperlink r:id="rId13">
        <w:r>
          <w:rPr>
            <w:rFonts w:ascii="Avenir" w:hAnsi="Avenir" w:eastAsia="Avenir" w:cs="Avenir"/>
            <w:color w:val="B83C72"/>
            <w:sz w:val="16"/>
            <w:vertAlign w:val="superscript"/>
          </w:rPr>
          <w:t>[3]</w:t>
        </w:r>
      </w:hyperlink>
    </w:p>
    <w:p>
      <w:pPr>
        <w:pStyle w:val="Heading2"/>
        <w:keepNext/>
      </w:pPr>
      <w:r>
        <w:rPr>
          <w:rFonts w:ascii="Avenir" w:hAnsi="Avenir" w:eastAsia="Avenir" w:cs="Avenir"/>
        </w:rPr>
        <w:t>From pixels to a candidate food</w:t>
      </w:r>
    </w:p>
    <w:p>
      <w:pPr>
        <w:numPr>
          <w:ilvl w:val="0"/>
          <w:numId w:val="11"/>
        </w:numPr>
        <w:spacing w:after="110" w:line="269" w:lineRule="auto"/>
      </w:pPr>
      <w:r>
        <w:rPr>
          <w:rFonts w:ascii="Avenir" w:hAnsi="Avenir" w:eastAsia="Avenir" w:cs="Avenir"/>
        </w:rPr>
        <w:t>Capture and quality check: verify that the photo is usable; note blur, darkness, occlusion, and whether the plate is fully visible.</w:t>
      </w:r>
    </w:p>
    <w:p>
      <w:pPr>
        <w:numPr>
          <w:ilvl w:val="0"/>
          <w:numId w:val="11"/>
        </w:numPr>
        <w:spacing w:after="110" w:line="269" w:lineRule="auto"/>
      </w:pPr>
      <w:r>
        <w:rPr>
          <w:rFonts w:ascii="Avenir" w:hAnsi="Avenir" w:eastAsia="Avenir" w:cs="Avenir"/>
        </w:rPr>
        <w:t>Locate relevant regions: separate food from plate, table, utensils, packaging, and background. A multi-item meal may require several regions.</w:t>
      </w:r>
    </w:p>
    <w:p>
      <w:pPr>
        <w:numPr>
          <w:ilvl w:val="0"/>
          <w:numId w:val="11"/>
        </w:numPr>
        <w:spacing w:after="110" w:line="269" w:lineRule="auto"/>
      </w:pPr>
      <w:r>
        <w:rPr>
          <w:rFonts w:ascii="Avenir" w:hAnsi="Avenir" w:eastAsia="Avenir" w:cs="Avenir"/>
        </w:rPr>
        <w:t>Encode visual features: the model turns color, texture, edges, shapes, and broader context into a feature representation.</w:t>
      </w:r>
    </w:p>
    <w:p>
      <w:pPr>
        <w:numPr>
          <w:ilvl w:val="0"/>
          <w:numId w:val="11"/>
        </w:numPr>
        <w:spacing w:after="110" w:line="269" w:lineRule="auto"/>
      </w:pPr>
      <w:r>
        <w:rPr>
          <w:rFonts w:ascii="Avenir" w:hAnsi="Avenir" w:eastAsia="Avenir" w:cs="Avenir"/>
        </w:rPr>
        <w:t>Compare against possible labels: the system produces candidates such as 'grilled chicken,' 'tofu,' or 'paneer,' with relative scores.</w:t>
      </w:r>
    </w:p>
    <w:p>
      <w:pPr>
        <w:numPr>
          <w:ilvl w:val="0"/>
          <w:numId w:val="11"/>
        </w:numPr>
        <w:spacing w:after="110" w:line="269" w:lineRule="auto"/>
      </w:pPr>
      <w:r>
        <w:rPr>
          <w:rFonts w:ascii="Avenir" w:hAnsi="Avenir" w:eastAsia="Avenir" w:cs="Avenir"/>
        </w:rPr>
        <w:t>Apply a confidence gate: high-confidence candidates can be shown for quick confirmation; ambiguous or unfamiliar foods trigger clarification, retrieval, or abstention.</w:t>
      </w:r>
    </w:p>
    <w:p>
      <w:r>
        <w:rPr>
          <w:rFonts w:ascii="Avenir" w:hAnsi="Avenir" w:eastAsia="Avenir" w:cs="Avenir"/>
        </w:rPr>
        <w:t>Food recognition is harder than recognizing many everyday objects. The same dish can vary by cuisine, recipe, lighting, plating, and preparation, while visually similar foods can have very different ingredients. Food-101 is a widely used benchmark that illustrates this variation, but a benchmark score does not by itself establish performance in Pippa's real patient population.</w:t>
      </w:r>
      <w:r>
        <w:rPr>
          <w:rFonts w:ascii="Avenir" w:hAnsi="Avenir" w:eastAsia="Avenir" w:cs="Avenir"/>
        </w:rPr>
        <w:t xml:space="preserve"> </w:t>
      </w:r>
      <w:hyperlink r:id="rId14">
        <w:r>
          <w:rPr>
            <w:rFonts w:ascii="Avenir" w:hAnsi="Avenir" w:eastAsia="Avenir" w:cs="Avenir"/>
            <w:color w:val="B83C72"/>
            <w:sz w:val="16"/>
            <w:vertAlign w:val="superscript"/>
          </w:rPr>
          <w:t>[4]</w:t>
        </w:r>
      </w:hyperlink>
    </w:p>
    <w:p>
      <w:pPr>
        <w:spacing w:before="60" w:after="160" w:line="269" w:lineRule="auto"/>
      </w:pPr>
      <w:r>
        <w:rPr>
          <w:rFonts w:ascii="Avenir" w:hAnsi="Avenir" w:eastAsia="Avenir" w:cs="Avenir"/>
          <w:b/>
          <w:color w:val="8B6700"/>
          <w:sz w:val="21"/>
        </w:rPr>
        <w:t xml:space="preserve">What 'confidence' means: </w:t>
      </w:r>
      <w:r>
        <w:rPr>
          <w:rFonts w:ascii="Avenir" w:hAnsi="Avenir" w:eastAsia="Avenir" w:cs="Avenir"/>
          <w:color w:val="3A1A28"/>
          <w:sz w:val="21"/>
        </w:rPr>
        <w:t>A confidence score is the model's internal strength of preference among candidates; it is not a guarantee that the answer is correct. Modern neural networks can be overconfident, so scores should be calibrated on representative Pippa data and tied to clear actions such as confirm, clarify, or abstain.</w:t>
      </w:r>
      <w:r>
        <w:rPr>
          <w:rFonts w:ascii="Avenir" w:hAnsi="Avenir" w:eastAsia="Avenir" w:cs="Avenir"/>
        </w:rPr>
        <w:t xml:space="preserve"> </w:t>
      </w:r>
      <w:hyperlink r:id="rId15">
        <w:r>
          <w:rPr>
            <w:rFonts w:ascii="Avenir" w:hAnsi="Avenir" w:eastAsia="Avenir" w:cs="Avenir"/>
            <w:color w:val="B83C72"/>
            <w:sz w:val="16"/>
            <w:vertAlign w:val="superscript"/>
          </w:rPr>
          <w:t>[7]</w:t>
        </w:r>
      </w:hyperlink>
    </w:p>
    <w:p>
      <w:pPr>
        <w:pStyle w:val="Heading1"/>
        <w:keepNext/>
      </w:pPr>
      <w:r>
        <w:rPr>
          <w:rFonts w:ascii="Avenir" w:hAnsi="Avenir" w:eastAsia="Avenir" w:cs="Avenir"/>
        </w:rPr>
        <w:t>2. Pippa's food-image pipeline</w:t>
      </w:r>
    </w:p>
    <w:p>
      <w:r>
        <w:rPr>
          <w:rFonts w:ascii="Avenir" w:hAnsi="Avenir" w:eastAsia="Avenir" w:cs="Avenir"/>
        </w:rPr>
        <w:t>Pippa's value is not a single model call. It is the sequence of checks around the model, including sizing signals, retrieval, nutrition lookup, user correction, and clinician visibility.</w:t>
      </w:r>
    </w:p>
    <w:p>
      <w:pPr>
        <w:keepLines/>
        <w:spacing w:before="40" w:after="140" w:line="264" w:lineRule="auto"/>
      </w:pPr>
      <w:r>
        <w:rPr>
          <w:rFonts w:ascii="Avenir" w:hAnsi="Avenir" w:eastAsia="Avenir" w:cs="Avenir"/>
          <w:b/>
          <w:color w:val="B83C72"/>
          <w:sz w:val="21"/>
        </w:rPr>
        <w:t xml:space="preserve">1. Capture - </w:t>
      </w:r>
      <w:r>
        <w:rPr>
          <w:rFonts w:ascii="Avenir" w:hAnsi="Avenir" w:eastAsia="Avenir" w:cs="Avenir"/>
          <w:color w:val="3A1A28"/>
          <w:sz w:val="21"/>
        </w:rPr>
        <w:t>Collect a meal photo plus available device and camera metadata.</w:t>
      </w:r>
      <w:r>
        <w:rPr>
          <w:rFonts w:ascii="Avenir" w:hAnsi="Avenir" w:eastAsia="Avenir" w:cs="Avenir"/>
        </w:rPr>
        <w:br/>
      </w:r>
      <w:r>
        <w:rPr>
          <w:rFonts w:ascii="Avenir" w:hAnsi="Avenir" w:eastAsia="Avenir" w:cs="Avenir"/>
          <w:b/>
          <w:color w:val="3A1A28"/>
          <w:sz w:val="18"/>
        </w:rPr>
        <w:t xml:space="preserve">When uncertain: </w:t>
      </w:r>
      <w:r>
        <w:rPr>
          <w:rFonts w:ascii="Avenir" w:hAnsi="Avenir" w:eastAsia="Avenir" w:cs="Avenir"/>
          <w:color w:val="6E4A5A"/>
          <w:sz w:val="18"/>
        </w:rPr>
        <w:t>Ask for a clearer photo or manual entry.</w:t>
      </w:r>
      <w:r>
        <w:rPr>
          <w:rFonts w:ascii="Avenir" w:hAnsi="Avenir" w:eastAsia="Avenir" w:cs="Avenir"/>
          <w:b/>
          <w:color w:val="3A1A28"/>
          <w:sz w:val="18"/>
        </w:rPr>
        <w:t xml:space="preserve">  Clinician sees: </w:t>
      </w:r>
      <w:r>
        <w:rPr>
          <w:rFonts w:ascii="Avenir" w:hAnsi="Avenir" w:eastAsia="Avenir" w:cs="Avenir"/>
          <w:color w:val="6E4A5A"/>
          <w:sz w:val="18"/>
        </w:rPr>
        <w:t>Meal log and user description.</w:t>
      </w:r>
    </w:p>
    <w:p>
      <w:pPr>
        <w:keepLines/>
        <w:spacing w:before="40" w:after="140" w:line="264" w:lineRule="auto"/>
      </w:pPr>
      <w:r>
        <w:rPr>
          <w:rFonts w:ascii="Avenir" w:hAnsi="Avenir" w:eastAsia="Avenir" w:cs="Avenir"/>
          <w:b/>
          <w:color w:val="B83C72"/>
          <w:sz w:val="21"/>
        </w:rPr>
        <w:t xml:space="preserve">2. Identify - </w:t>
      </w:r>
      <w:r>
        <w:rPr>
          <w:rFonts w:ascii="Avenir" w:hAnsi="Avenir" w:eastAsia="Avenir" w:cs="Avenir"/>
          <w:color w:val="3A1A28"/>
          <w:sz w:val="21"/>
        </w:rPr>
        <w:t>Return several plausible food labels rather than forcing one answer.</w:t>
      </w:r>
      <w:r>
        <w:rPr>
          <w:rFonts w:ascii="Avenir" w:hAnsi="Avenir" w:eastAsia="Avenir" w:cs="Avenir"/>
        </w:rPr>
        <w:br/>
      </w:r>
      <w:r>
        <w:rPr>
          <w:rFonts w:ascii="Avenir" w:hAnsi="Avenir" w:eastAsia="Avenir" w:cs="Avenir"/>
          <w:b/>
          <w:color w:val="3A1A28"/>
          <w:sz w:val="18"/>
        </w:rPr>
        <w:t xml:space="preserve">When uncertain: </w:t>
      </w:r>
      <w:r>
        <w:rPr>
          <w:rFonts w:ascii="Avenir" w:hAnsi="Avenir" w:eastAsia="Avenir" w:cs="Avenir"/>
          <w:color w:val="6E4A5A"/>
          <w:sz w:val="18"/>
        </w:rPr>
        <w:t>Ask a short clarifying question.</w:t>
      </w:r>
      <w:r>
        <w:rPr>
          <w:rFonts w:ascii="Avenir" w:hAnsi="Avenir" w:eastAsia="Avenir" w:cs="Avenir"/>
          <w:b/>
          <w:color w:val="3A1A28"/>
          <w:sz w:val="18"/>
        </w:rPr>
        <w:t xml:space="preserve">  Clinician sees: </w:t>
      </w:r>
      <w:r>
        <w:rPr>
          <w:rFonts w:ascii="Avenir" w:hAnsi="Avenir" w:eastAsia="Avenir" w:cs="Avenir"/>
          <w:color w:val="6E4A5A"/>
          <w:sz w:val="18"/>
        </w:rPr>
        <w:t>Confirmed label and uncertainty.</w:t>
      </w:r>
    </w:p>
    <w:p>
      <w:pPr>
        <w:keepLines/>
        <w:spacing w:before="40" w:after="140" w:line="264" w:lineRule="auto"/>
      </w:pPr>
      <w:r>
        <w:rPr>
          <w:rFonts w:ascii="Avenir" w:hAnsi="Avenir" w:eastAsia="Avenir" w:cs="Avenir"/>
          <w:b/>
          <w:color w:val="B83C72"/>
          <w:sz w:val="21"/>
        </w:rPr>
        <w:t xml:space="preserve">3. Size - </w:t>
      </w:r>
      <w:r>
        <w:rPr>
          <w:rFonts w:ascii="Avenir" w:hAnsi="Avenir" w:eastAsia="Avenir" w:cs="Avenir"/>
          <w:color w:val="3A1A28"/>
          <w:sz w:val="21"/>
        </w:rPr>
        <w:t>Use segmentation, reference scale, camera pose, and AR/depth where available.</w:t>
      </w:r>
      <w:r>
        <w:rPr>
          <w:rFonts w:ascii="Avenir" w:hAnsi="Avenir" w:eastAsia="Avenir" w:cs="Avenir"/>
        </w:rPr>
        <w:br/>
      </w:r>
      <w:r>
        <w:rPr>
          <w:rFonts w:ascii="Avenir" w:hAnsi="Avenir" w:eastAsia="Avenir" w:cs="Avenir"/>
          <w:b/>
          <w:color w:val="3A1A28"/>
          <w:sz w:val="18"/>
        </w:rPr>
        <w:t xml:space="preserve">When uncertain: </w:t>
      </w:r>
      <w:r>
        <w:rPr>
          <w:rFonts w:ascii="Avenir" w:hAnsi="Avenir" w:eastAsia="Avenir" w:cs="Avenir"/>
          <w:color w:val="6E4A5A"/>
          <w:sz w:val="18"/>
        </w:rPr>
        <w:t>Show a range or manual portion choice.</w:t>
      </w:r>
      <w:r>
        <w:rPr>
          <w:rFonts w:ascii="Avenir" w:hAnsi="Avenir" w:eastAsia="Avenir" w:cs="Avenir"/>
          <w:b/>
          <w:color w:val="3A1A28"/>
          <w:sz w:val="18"/>
        </w:rPr>
        <w:t xml:space="preserve">  Clinician sees: </w:t>
      </w:r>
      <w:r>
        <w:rPr>
          <w:rFonts w:ascii="Avenir" w:hAnsi="Avenir" w:eastAsia="Avenir" w:cs="Avenir"/>
          <w:color w:val="6E4A5A"/>
          <w:sz w:val="18"/>
        </w:rPr>
        <w:t>Portion estimate and uncertainty.</w:t>
      </w:r>
    </w:p>
    <w:p>
      <w:pPr>
        <w:keepLines/>
        <w:spacing w:before="40" w:after="140" w:line="264" w:lineRule="auto"/>
      </w:pPr>
      <w:r>
        <w:rPr>
          <w:rFonts w:ascii="Avenir" w:hAnsi="Avenir" w:eastAsia="Avenir" w:cs="Avenir"/>
          <w:b/>
          <w:color w:val="B83C72"/>
          <w:sz w:val="21"/>
        </w:rPr>
        <w:t xml:space="preserve">4. Cross-check - </w:t>
      </w:r>
      <w:r>
        <w:rPr>
          <w:rFonts w:ascii="Avenir" w:hAnsi="Avenir" w:eastAsia="Avenir" w:cs="Avenir"/>
          <w:color w:val="3A1A28"/>
          <w:sz w:val="21"/>
        </w:rPr>
        <w:t>Retrieve approved food definitions, ingredient lists, or restaurant information.</w:t>
      </w:r>
      <w:r>
        <w:rPr>
          <w:rFonts w:ascii="Avenir" w:hAnsi="Avenir" w:eastAsia="Avenir" w:cs="Avenir"/>
        </w:rPr>
        <w:br/>
      </w:r>
      <w:r>
        <w:rPr>
          <w:rFonts w:ascii="Avenir" w:hAnsi="Avenir" w:eastAsia="Avenir" w:cs="Avenir"/>
          <w:b/>
          <w:color w:val="3A1A28"/>
          <w:sz w:val="18"/>
        </w:rPr>
        <w:t xml:space="preserve">When uncertain: </w:t>
      </w:r>
      <w:r>
        <w:rPr>
          <w:rFonts w:ascii="Avenir" w:hAnsi="Avenir" w:eastAsia="Avenir" w:cs="Avenir"/>
          <w:color w:val="6E4A5A"/>
          <w:sz w:val="18"/>
        </w:rPr>
        <w:t>Never let a generic web result override uncertainty.</w:t>
      </w:r>
      <w:r>
        <w:rPr>
          <w:rFonts w:ascii="Avenir" w:hAnsi="Avenir" w:eastAsia="Avenir" w:cs="Avenir"/>
          <w:b/>
          <w:color w:val="3A1A28"/>
          <w:sz w:val="18"/>
        </w:rPr>
        <w:t xml:space="preserve">  Clinician sees: </w:t>
      </w:r>
      <w:r>
        <w:rPr>
          <w:rFonts w:ascii="Avenir" w:hAnsi="Avenir" w:eastAsia="Avenir" w:cs="Avenir"/>
          <w:color w:val="6E4A5A"/>
          <w:sz w:val="18"/>
        </w:rPr>
        <w:t>Source and unresolved ambiguity.</w:t>
      </w:r>
    </w:p>
    <w:p>
      <w:pPr>
        <w:keepLines/>
        <w:spacing w:before="40" w:after="140" w:line="264" w:lineRule="auto"/>
      </w:pPr>
      <w:r>
        <w:rPr>
          <w:rFonts w:ascii="Avenir" w:hAnsi="Avenir" w:eastAsia="Avenir" w:cs="Avenir"/>
          <w:b/>
          <w:color w:val="B83C72"/>
          <w:sz w:val="21"/>
        </w:rPr>
        <w:t xml:space="preserve">5. Map - </w:t>
      </w:r>
      <w:r>
        <w:rPr>
          <w:rFonts w:ascii="Avenir" w:hAnsi="Avenir" w:eastAsia="Avenir" w:cs="Avenir"/>
          <w:color w:val="3A1A28"/>
          <w:sz w:val="21"/>
        </w:rPr>
        <w:t>Resolve the confirmed food to a canonical nutrition-dictionary entry.</w:t>
      </w:r>
      <w:r>
        <w:rPr>
          <w:rFonts w:ascii="Avenir" w:hAnsi="Avenir" w:eastAsia="Avenir" w:cs="Avenir"/>
        </w:rPr>
        <w:br/>
      </w:r>
      <w:r>
        <w:rPr>
          <w:rFonts w:ascii="Avenir" w:hAnsi="Avenir" w:eastAsia="Avenir" w:cs="Avenir"/>
          <w:b/>
          <w:color w:val="3A1A28"/>
          <w:sz w:val="18"/>
        </w:rPr>
        <w:t xml:space="preserve">When uncertain: </w:t>
      </w:r>
      <w:r>
        <w:rPr>
          <w:rFonts w:ascii="Avenir" w:hAnsi="Avenir" w:eastAsia="Avenir" w:cs="Avenir"/>
          <w:color w:val="6E4A5A"/>
          <w:sz w:val="18"/>
        </w:rPr>
        <w:t>Use a composite or ingredient breakdown.</w:t>
      </w:r>
      <w:r>
        <w:rPr>
          <w:rFonts w:ascii="Avenir" w:hAnsi="Avenir" w:eastAsia="Avenir" w:cs="Avenir"/>
          <w:b/>
          <w:color w:val="3A1A28"/>
          <w:sz w:val="18"/>
        </w:rPr>
        <w:t xml:space="preserve">  Clinician sees: </w:t>
      </w:r>
      <w:r>
        <w:rPr>
          <w:rFonts w:ascii="Avenir" w:hAnsi="Avenir" w:eastAsia="Avenir" w:cs="Avenir"/>
          <w:color w:val="6E4A5A"/>
          <w:sz w:val="18"/>
        </w:rPr>
        <w:t>Clinician estimate; patient view stays number-free.</w:t>
      </w:r>
    </w:p>
    <w:p>
      <w:pPr>
        <w:pStyle w:val="Caption"/>
        <w:spacing w:before="80" w:after="80"/>
      </w:pPr>
      <w:r>
        <w:rPr>
          <w:rFonts w:ascii="Avenir" w:hAnsi="Avenir" w:eastAsia="Avenir" w:cs="Avenir"/>
          <w:color w:val="6E4A5A"/>
        </w:rPr>
        <w:t>The workflow is designed to clarify or abstain instead of manufacturing precision.</w:t>
      </w:r>
    </w:p>
    <w:p>
      <w:pPr>
        <w:pStyle w:val="Heading2"/>
        <w:keepNext/>
      </w:pPr>
      <w:r>
        <w:rPr>
          <w:rFonts w:ascii="Avenir" w:hAnsi="Avenir" w:eastAsia="Avenir" w:cs="Avenir"/>
        </w:rPr>
        <w:t>Web cross-checking: what it should and should not mean</w:t>
      </w:r>
    </w:p>
    <w:p>
      <w:r>
        <w:rPr>
          <w:rFonts w:ascii="Avenir" w:hAnsi="Avenir" w:eastAsia="Avenir" w:cs="Avenir"/>
        </w:rPr>
        <w:t>When the vision model is uncertain, Pippa can retrieve information to narrow the candidate set. For example, it may compare candidate names with an approved food database, a manufacturer label, or a restaurant menu. Retrieval is corroboration, not proof. A search result can be stale, incomplete, culturally mismatched, or based on a different recipe.</w:t>
      </w:r>
    </w:p>
    <w:p>
      <w:pPr>
        <w:numPr>
          <w:ilvl w:val="0"/>
          <w:numId w:val="10"/>
        </w:numPr>
        <w:spacing w:after="110" w:line="269" w:lineRule="auto"/>
      </w:pPr>
      <w:r>
        <w:rPr>
          <w:rFonts w:ascii="Avenir" w:hAnsi="Avenir" w:eastAsia="Avenir" w:cs="Avenir"/>
          <w:b/>
          <w:color w:val="B83C72"/>
        </w:rPr>
        <w:t>Preferred sources:</w:t>
      </w:r>
      <w:r>
        <w:rPr>
          <w:rFonts w:ascii="Avenir" w:hAnsi="Avenir" w:eastAsia="Avenir" w:cs="Avenir"/>
        </w:rPr>
        <w:t xml:space="preserve"> structured food-composition data, manufacturer nutrition pages, and restaurant/menu pages tied to the user's confirmed item.</w:t>
      </w:r>
    </w:p>
    <w:p>
      <w:pPr>
        <w:numPr>
          <w:ilvl w:val="0"/>
          <w:numId w:val="10"/>
        </w:numPr>
        <w:spacing w:after="110" w:line="269" w:lineRule="auto"/>
      </w:pPr>
      <w:r>
        <w:rPr>
          <w:rFonts w:ascii="Avenir" w:hAnsi="Avenir" w:eastAsia="Avenir" w:cs="Avenir"/>
          <w:b/>
          <w:color w:val="B83C72"/>
        </w:rPr>
        <w:t>Privacy guardrail:</w:t>
      </w:r>
      <w:r>
        <w:rPr>
          <w:rFonts w:ascii="Avenir" w:hAnsi="Avenir" w:eastAsia="Avenir" w:cs="Avenir"/>
        </w:rPr>
        <w:t xml:space="preserve"> use text-only candidate terms whenever possible; do not send a patient photo, name, clinic, location, or other identifying metadata to a general public search service.</w:t>
      </w:r>
    </w:p>
    <w:p>
      <w:pPr>
        <w:numPr>
          <w:ilvl w:val="0"/>
          <w:numId w:val="10"/>
        </w:numPr>
        <w:spacing w:after="110" w:line="269" w:lineRule="auto"/>
      </w:pPr>
      <w:r>
        <w:rPr>
          <w:rFonts w:ascii="Avenir" w:hAnsi="Avenir" w:eastAsia="Avenir" w:cs="Avenir"/>
          <w:b/>
          <w:color w:val="B83C72"/>
        </w:rPr>
        <w:t>Decision rule:</w:t>
      </w:r>
      <w:r>
        <w:rPr>
          <w:rFonts w:ascii="Avenir" w:hAnsi="Avenir" w:eastAsia="Avenir" w:cs="Avenir"/>
        </w:rPr>
        <w:t xml:space="preserve"> if corroboration remains weak, ask the user or clinician to select the closest item. 'Unknown' is an acceptable and often safer output.</w:t>
      </w:r>
    </w:p>
    <w:p>
      <w:pPr>
        <w:pStyle w:val="Heading1"/>
        <w:keepNext/>
      </w:pPr>
      <w:r>
        <w:rPr>
          <w:rFonts w:ascii="Avenir" w:hAnsi="Avenir" w:eastAsia="Avenir" w:cs="Avenir"/>
        </w:rPr>
        <w:t>3. Estimating portion size and energy</w:t>
      </w:r>
    </w:p>
    <w:p>
      <w:r>
        <w:rPr>
          <w:rFonts w:ascii="Avenir" w:hAnsi="Avenir" w:eastAsia="Avenir" w:cs="Avenir"/>
        </w:rPr>
        <w:t>Image classification answers 'what might this be?' Portion estimation asks 'how much is present?' The second problem is often harder. Research systems such as Im2Calories and Nutrition5k combine food recognition with segmentation, geometry, depth, component mass, and nutrient annotations.</w:t>
      </w:r>
      <w:r>
        <w:rPr>
          <w:rFonts w:ascii="Avenir" w:hAnsi="Avenir" w:eastAsia="Avenir" w:cs="Avenir"/>
        </w:rPr>
        <w:t xml:space="preserve"> </w:t>
      </w:r>
      <w:hyperlink r:id="rId16">
        <w:r>
          <w:rPr>
            <w:rFonts w:ascii="Avenir" w:hAnsi="Avenir" w:eastAsia="Avenir" w:cs="Avenir"/>
            <w:color w:val="B83C72"/>
            <w:sz w:val="16"/>
            <w:vertAlign w:val="superscript"/>
          </w:rPr>
          <w:t>[5]</w:t>
        </w:r>
      </w:hyperlink>
      <w:r>
        <w:rPr>
          <w:rFonts w:ascii="Avenir" w:hAnsi="Avenir" w:eastAsia="Avenir" w:cs="Avenir"/>
        </w:rPr>
        <w:t xml:space="preserve"> </w:t>
      </w:r>
      <w:hyperlink r:id="rId17">
        <w:r>
          <w:rPr>
            <w:rFonts w:ascii="Avenir" w:hAnsi="Avenir" w:eastAsia="Avenir" w:cs="Avenir"/>
            <w:color w:val="B83C72"/>
            <w:sz w:val="16"/>
            <w:vertAlign w:val="superscript"/>
          </w:rPr>
          <w:t>[6]</w:t>
        </w:r>
      </w:hyperlink>
    </w:p>
    <w:p>
      <w:pPr>
        <w:pStyle w:val="Heading2"/>
        <w:keepNext/>
      </w:pPr>
      <w:r>
        <w:rPr>
          <w:rFonts w:ascii="Avenir" w:hAnsi="Avenir" w:eastAsia="Avenir" w:cs="Avenir"/>
        </w:rPr>
        <w:t>Camera and AR signals</w:t>
      </w:r>
    </w:p>
    <w:p>
      <w:r>
        <w:rPr>
          <w:rFonts w:ascii="Avenir" w:hAnsi="Avenir" w:eastAsia="Avenir" w:cs="Avenir"/>
        </w:rPr>
        <w:t>On compatible phones, AR frameworks can provide camera pose, estimated planes, scene depth, and a confidence map for the depth values. Pippa can combine these signals with known plate size or another reference to estimate food height and volume. Devices without usable depth data can still use perspective and reference-scale methods, but the result should carry more uncertainty.</w:t>
      </w:r>
      <w:r>
        <w:rPr>
          <w:rFonts w:ascii="Avenir" w:hAnsi="Avenir" w:eastAsia="Avenir" w:cs="Avenir"/>
        </w:rPr>
        <w:t xml:space="preserve"> </w:t>
      </w:r>
      <w:hyperlink r:id="rId18">
        <w:r>
          <w:rPr>
            <w:rFonts w:ascii="Avenir" w:hAnsi="Avenir" w:eastAsia="Avenir" w:cs="Avenir"/>
            <w:color w:val="B83C72"/>
            <w:sz w:val="16"/>
            <w:vertAlign w:val="superscript"/>
          </w:rPr>
          <w:t>[8]</w:t>
        </w:r>
      </w:hyperlink>
    </w:p>
    <w:p>
      <w:pPr>
        <w:numPr>
          <w:ilvl w:val="0"/>
          <w:numId w:val="10"/>
        </w:numPr>
        <w:spacing w:after="110" w:line="269" w:lineRule="auto"/>
      </w:pPr>
      <w:r>
        <w:rPr>
          <w:rFonts w:ascii="Avenir" w:hAnsi="Avenir" w:eastAsia="Avenir" w:cs="Avenir"/>
        </w:rPr>
        <w:t>Segmentation estimates the footprint of each food region on the plate.</w:t>
      </w:r>
    </w:p>
    <w:p>
      <w:pPr>
        <w:numPr>
          <w:ilvl w:val="0"/>
          <w:numId w:val="10"/>
        </w:numPr>
        <w:spacing w:after="110" w:line="269" w:lineRule="auto"/>
      </w:pPr>
      <w:r>
        <w:rPr>
          <w:rFonts w:ascii="Avenir" w:hAnsi="Avenir" w:eastAsia="Avenir" w:cs="Avenir"/>
        </w:rPr>
        <w:t>Depth or multiple viewpoints estimate height and three-dimensional volume.</w:t>
      </w:r>
    </w:p>
    <w:p>
      <w:pPr>
        <w:numPr>
          <w:ilvl w:val="0"/>
          <w:numId w:val="10"/>
        </w:numPr>
        <w:spacing w:after="110" w:line="269" w:lineRule="auto"/>
      </w:pPr>
      <w:r>
        <w:rPr>
          <w:rFonts w:ascii="Avenir" w:hAnsi="Avenir" w:eastAsia="Avenir" w:cs="Avenir"/>
        </w:rPr>
        <w:t>A food-density assumption converts volume to approximate mass.</w:t>
      </w:r>
    </w:p>
    <w:p>
      <w:pPr>
        <w:numPr>
          <w:ilvl w:val="0"/>
          <w:numId w:val="10"/>
        </w:numPr>
        <w:spacing w:after="110" w:line="269" w:lineRule="auto"/>
      </w:pPr>
      <w:r>
        <w:rPr>
          <w:rFonts w:ascii="Avenir" w:hAnsi="Avenir" w:eastAsia="Avenir" w:cs="Avenir"/>
        </w:rPr>
        <w:t>The confirmed dictionary entry converts mass to estimated energy and nutrients.</w:t>
      </w:r>
    </w:p>
    <w:p>
      <w:pPr>
        <w:spacing w:before="60" w:after="160" w:line="269" w:lineRule="auto"/>
      </w:pPr>
      <w:r>
        <w:rPr>
          <w:rFonts w:ascii="Avenir" w:hAnsi="Avenir" w:eastAsia="Avenir" w:cs="Avenir"/>
          <w:b/>
          <w:color w:val="B83C72"/>
          <w:sz w:val="21"/>
        </w:rPr>
        <w:t xml:space="preserve">A simple calculation: </w:t>
      </w:r>
      <w:r>
        <w:rPr>
          <w:rFonts w:ascii="Avenir" w:hAnsi="Avenir" w:eastAsia="Avenir" w:cs="Avenir"/>
          <w:color w:val="3A1A28"/>
          <w:sz w:val="21"/>
        </w:rPr>
        <w:t>Estimated energy = sum[(estimated portion mass in grams) x (kcal per 100 grams for the matched food) / 100]. For a mixed dish, the calculation may use a standardized composite entry or an ingredient-level breakdown when ingredients are known.</w:t>
      </w:r>
    </w:p>
    <w:p>
      <w:pPr>
        <w:pStyle w:val="Heading2"/>
        <w:keepNext/>
      </w:pPr>
      <w:r>
        <w:rPr>
          <w:rFonts w:ascii="Avenir" w:hAnsi="Avenir" w:eastAsia="Avenir" w:cs="Avenir"/>
        </w:rPr>
        <w:t>The nutrition dictionary</w:t>
      </w:r>
    </w:p>
    <w:p>
      <w:r>
        <w:rPr>
          <w:rFonts w:ascii="Avenir" w:hAnsi="Avenir" w:eastAsia="Avenir" w:cs="Avenir"/>
        </w:rPr>
        <w:t>The model should not invent calorie or nutrient values. Once the food and portion are resolved, Pippa maps them to a curated dictionary entry. USDA FoodData Central provides structured records for foundation foods, survey foods, legacy foods, and branded products. Pippa can also maintain a reviewed alias layer so terms such as 'rajma,' 'kidney bean curry,' and a particular packaged item resolve consistently.</w:t>
      </w:r>
      <w:r>
        <w:rPr>
          <w:rFonts w:ascii="Avenir" w:hAnsi="Avenir" w:eastAsia="Avenir" w:cs="Avenir"/>
        </w:rPr>
        <w:t xml:space="preserve"> </w:t>
      </w:r>
      <w:hyperlink r:id="rId19">
        <w:r>
          <w:rPr>
            <w:rFonts w:ascii="Avenir" w:hAnsi="Avenir" w:eastAsia="Avenir" w:cs="Avenir"/>
            <w:color w:val="B83C72"/>
            <w:sz w:val="16"/>
            <w:vertAlign w:val="superscript"/>
          </w:rPr>
          <w:t>[9]</w:t>
        </w:r>
      </w:hyperlink>
    </w:p>
    <w:p>
      <w:pPr>
        <w:numPr>
          <w:ilvl w:val="0"/>
          <w:numId w:val="10"/>
        </w:numPr>
        <w:spacing w:after="110" w:line="269" w:lineRule="auto"/>
      </w:pPr>
      <w:r>
        <w:rPr>
          <w:rFonts w:ascii="Avenir" w:hAnsi="Avenir" w:eastAsia="Avenir" w:cs="Avenir"/>
        </w:rPr>
        <w:t>Canonical food ID and aliases</w:t>
      </w:r>
    </w:p>
    <w:p>
      <w:pPr>
        <w:numPr>
          <w:ilvl w:val="0"/>
          <w:numId w:val="10"/>
        </w:numPr>
        <w:spacing w:after="110" w:line="269" w:lineRule="auto"/>
      </w:pPr>
      <w:r>
        <w:rPr>
          <w:rFonts w:ascii="Avenir" w:hAnsi="Avenir" w:eastAsia="Avenir" w:cs="Avenir"/>
        </w:rPr>
        <w:t>Preparation state and recipe assumptions</w:t>
      </w:r>
    </w:p>
    <w:p>
      <w:pPr>
        <w:numPr>
          <w:ilvl w:val="0"/>
          <w:numId w:val="10"/>
        </w:numPr>
        <w:spacing w:after="110" w:line="269" w:lineRule="auto"/>
      </w:pPr>
      <w:r>
        <w:rPr>
          <w:rFonts w:ascii="Avenir" w:hAnsi="Avenir" w:eastAsia="Avenir" w:cs="Avenir"/>
        </w:rPr>
        <w:t>Nutrients per 100 grams and/or per documented serving</w:t>
      </w:r>
    </w:p>
    <w:p>
      <w:pPr>
        <w:numPr>
          <w:ilvl w:val="0"/>
          <w:numId w:val="10"/>
        </w:numPr>
        <w:spacing w:after="110" w:line="269" w:lineRule="auto"/>
      </w:pPr>
      <w:r>
        <w:rPr>
          <w:rFonts w:ascii="Avenir" w:hAnsi="Avenir" w:eastAsia="Avenir" w:cs="Avenir"/>
        </w:rPr>
        <w:t>Density or typical serving information used in portion conversion</w:t>
      </w:r>
    </w:p>
    <w:p>
      <w:pPr>
        <w:numPr>
          <w:ilvl w:val="0"/>
          <w:numId w:val="10"/>
        </w:numPr>
        <w:spacing w:after="110" w:line="269" w:lineRule="auto"/>
      </w:pPr>
      <w:r>
        <w:rPr>
          <w:rFonts w:ascii="Avenir" w:hAnsi="Avenir" w:eastAsia="Avenir" w:cs="Avenir"/>
        </w:rPr>
        <w:t>Source, version, and last-reviewed date</w:t>
      </w:r>
    </w:p>
    <w:p>
      <w:r>
        <w:rPr>
          <w:rFonts w:ascii="Avenir" w:hAnsi="Avenir" w:eastAsia="Avenir" w:cs="Avenir"/>
        </w:rPr>
        <w:t>A correction should update the current meal record immediately. Corrections should not automatically retrain a base model; any later use for model evaluation or improvement requires a separate, governed, de-identified process.</w:t>
      </w:r>
    </w:p>
    <w:p>
      <w:pPr>
        <w:pStyle w:val="Heading1"/>
        <w:keepNext/>
      </w:pPr>
      <w:r>
        <w:rPr>
          <w:rFonts w:ascii="Avenir" w:hAnsi="Avenir" w:eastAsia="Avenir" w:cs="Avenir"/>
        </w:rPr>
        <w:t>4. PippaChat: supportive conversation with boundaries</w:t>
      </w:r>
    </w:p>
    <w:p>
      <w:r>
        <w:rPr>
          <w:rFonts w:ascii="Avenir" w:hAnsi="Avenir" w:eastAsia="Avenir" w:cs="Avenir"/>
        </w:rPr>
        <w:t>PippaChat uses a large language model, a class of systems derived from the transformer architecture. A language model predicts useful continuations from the conversation and system instructions; it can sound fluent without possessing clinical judgment or guaranteed factual accuracy.</w:t>
      </w:r>
      <w:r>
        <w:rPr>
          <w:rFonts w:ascii="Avenir" w:hAnsi="Avenir" w:eastAsia="Avenir" w:cs="Avenir"/>
        </w:rPr>
        <w:t xml:space="preserve"> </w:t>
      </w:r>
      <w:hyperlink r:id="rId20">
        <w:r>
          <w:rPr>
            <w:rFonts w:ascii="Avenir" w:hAnsi="Avenir" w:eastAsia="Avenir" w:cs="Avenir"/>
            <w:color w:val="B83C72"/>
            <w:sz w:val="16"/>
            <w:vertAlign w:val="superscript"/>
          </w:rPr>
          <w:t>[10]</w:t>
        </w:r>
      </w:hyperlink>
    </w:p>
    <w:p>
      <w:pPr>
        <w:pStyle w:val="Heading2"/>
        <w:keepNext/>
      </w:pPr>
      <w:r>
        <w:rPr>
          <w:rFonts w:ascii="Avenir" w:hAnsi="Avenir" w:eastAsia="Avenir" w:cs="Avenir"/>
        </w:rPr>
        <w:t>What the chat layer is for</w:t>
      </w:r>
    </w:p>
    <w:p>
      <w:pPr>
        <w:numPr>
          <w:ilvl w:val="0"/>
          <w:numId w:val="10"/>
        </w:numPr>
        <w:spacing w:after="110" w:line="269" w:lineRule="auto"/>
      </w:pPr>
      <w:r>
        <w:rPr>
          <w:rFonts w:ascii="Avenir" w:hAnsi="Avenir" w:eastAsia="Avenir" w:cs="Avenir"/>
        </w:rPr>
        <w:t>Offer empathetic, nonjudgmental meal support and reflection prompts.</w:t>
      </w:r>
    </w:p>
    <w:p>
      <w:pPr>
        <w:numPr>
          <w:ilvl w:val="0"/>
          <w:numId w:val="10"/>
        </w:numPr>
        <w:spacing w:after="110" w:line="269" w:lineRule="auto"/>
      </w:pPr>
      <w:r>
        <w:rPr>
          <w:rFonts w:ascii="Avenir" w:hAnsi="Avenir" w:eastAsia="Avenir" w:cs="Avenir"/>
        </w:rPr>
        <w:t>Guide a user through grounding or coping tools already approved for the product.</w:t>
      </w:r>
    </w:p>
    <w:p>
      <w:pPr>
        <w:numPr>
          <w:ilvl w:val="0"/>
          <w:numId w:val="10"/>
        </w:numPr>
        <w:spacing w:after="110" w:line="269" w:lineRule="auto"/>
      </w:pPr>
      <w:r>
        <w:rPr>
          <w:rFonts w:ascii="Avenir" w:hAnsi="Avenir" w:eastAsia="Avenir" w:cs="Avenir"/>
        </w:rPr>
        <w:t>Help a user name feelings, prepare questions for their care team, or summarize what they want to discuss.</w:t>
      </w:r>
    </w:p>
    <w:p>
      <w:pPr>
        <w:numPr>
          <w:ilvl w:val="0"/>
          <w:numId w:val="10"/>
        </w:numPr>
        <w:spacing w:after="110" w:line="269" w:lineRule="auto"/>
      </w:pPr>
      <w:r>
        <w:rPr>
          <w:rFonts w:ascii="Avenir" w:hAnsi="Avenir" w:eastAsia="Avenir" w:cs="Avenir"/>
        </w:rPr>
        <w:t>Encourage connection with the user's clinician, supporter, or safety plan when the conversation exceeds the chatbot's scope.</w:t>
      </w:r>
    </w:p>
    <w:p>
      <w:pPr>
        <w:pStyle w:val="Heading2"/>
        <w:keepNext/>
      </w:pPr>
      <w:r>
        <w:rPr>
          <w:rFonts w:ascii="Avenir" w:hAnsi="Avenir" w:eastAsia="Avenir" w:cs="Avenir"/>
        </w:rPr>
        <w:t>What the chat layer is not for</w:t>
      </w:r>
    </w:p>
    <w:p>
      <w:pPr>
        <w:numPr>
          <w:ilvl w:val="0"/>
          <w:numId w:val="10"/>
        </w:numPr>
        <w:spacing w:after="110" w:line="269" w:lineRule="auto"/>
      </w:pPr>
      <w:r>
        <w:rPr>
          <w:rFonts w:ascii="Avenir" w:hAnsi="Avenir" w:eastAsia="Avenir" w:cs="Avenir"/>
        </w:rPr>
        <w:t>Diagnosing an eating disorder, relapse, suicidality, or another mental-health condition.</w:t>
      </w:r>
    </w:p>
    <w:p>
      <w:pPr>
        <w:numPr>
          <w:ilvl w:val="0"/>
          <w:numId w:val="10"/>
        </w:numPr>
        <w:spacing w:after="110" w:line="269" w:lineRule="auto"/>
      </w:pPr>
      <w:r>
        <w:rPr>
          <w:rFonts w:ascii="Avenir" w:hAnsi="Avenir" w:eastAsia="Avenir" w:cs="Avenir"/>
        </w:rPr>
        <w:t>Giving an individualized meal prescription, changing a clinician's plan, or advising weight loss, purging, fasting, or compensatory exercise.</w:t>
      </w:r>
    </w:p>
    <w:p>
      <w:pPr>
        <w:numPr>
          <w:ilvl w:val="0"/>
          <w:numId w:val="10"/>
        </w:numPr>
        <w:spacing w:after="110" w:line="269" w:lineRule="auto"/>
      </w:pPr>
      <w:r>
        <w:rPr>
          <w:rFonts w:ascii="Avenir" w:hAnsi="Avenir" w:eastAsia="Avenir" w:cs="Avenir"/>
        </w:rPr>
        <w:t>Acting as a therapist, emergency responder, or replacement for the treatment team.</w:t>
      </w:r>
    </w:p>
    <w:p>
      <w:pPr>
        <w:numPr>
          <w:ilvl w:val="0"/>
          <w:numId w:val="10"/>
        </w:numPr>
        <w:spacing w:after="110" w:line="269" w:lineRule="auto"/>
      </w:pPr>
      <w:r>
        <w:rPr>
          <w:rFonts w:ascii="Avenir" w:hAnsi="Avenir" w:eastAsia="Avenir" w:cs="Avenir"/>
        </w:rPr>
        <w:t>Guaranteeing that all high-risk language will be detected.</w:t>
      </w:r>
    </w:p>
    <w:p>
      <w:pPr>
        <w:pStyle w:val="Heading2"/>
        <w:keepNext/>
      </w:pPr>
      <w:r>
        <w:rPr>
          <w:rFonts w:ascii="Avenir" w:hAnsi="Avenir" w:eastAsia="Avenir" w:cs="Avenir"/>
        </w:rPr>
        <w:t>Safety routing</w:t>
      </w:r>
    </w:p>
    <w:p>
      <w:r>
        <w:rPr>
          <w:rFonts w:ascii="Avenir" w:hAnsi="Avenir" w:eastAsia="Avenir" w:cs="Avenir"/>
        </w:rPr>
        <w:t>Before and after response generation, Pippa can apply a combination of rules, specialized classifiers, and constrained instructions. Ordinary recovery-support conversations stay in the normal pathway. Concerning language can trigger a check-in and a prompt to contact the care team. Language indicating possible immediate danger should produce a brief, direct crisis response and surface real-world resources such as 988 in the United States or emergency services when there is imminent danger.</w:t>
      </w:r>
      <w:r>
        <w:rPr>
          <w:rFonts w:ascii="Avenir" w:hAnsi="Avenir" w:eastAsia="Avenir" w:cs="Avenir"/>
        </w:rPr>
        <w:t xml:space="preserve"> </w:t>
      </w:r>
      <w:hyperlink r:id="rId21">
        <w:r>
          <w:rPr>
            <w:rFonts w:ascii="Avenir" w:hAnsi="Avenir" w:eastAsia="Avenir" w:cs="Avenir"/>
            <w:color w:val="B83C72"/>
            <w:sz w:val="16"/>
            <w:vertAlign w:val="superscript"/>
          </w:rPr>
          <w:t>[16]</w:t>
        </w:r>
      </w:hyperlink>
      <w:r>
        <w:rPr>
          <w:rFonts w:ascii="Avenir" w:hAnsi="Avenir" w:eastAsia="Avenir" w:cs="Avenir"/>
        </w:rPr>
        <w:t xml:space="preserve"> </w:t>
      </w:r>
      <w:hyperlink r:id="rId22">
        <w:r>
          <w:rPr>
            <w:rFonts w:ascii="Avenir" w:hAnsi="Avenir" w:eastAsia="Avenir" w:cs="Avenir"/>
            <w:color w:val="B83C72"/>
            <w:sz w:val="16"/>
            <w:vertAlign w:val="superscript"/>
          </w:rPr>
          <w:t>[18]</w:t>
        </w:r>
      </w:hyperlink>
    </w:p>
    <w:p>
      <w:pPr>
        <w:spacing w:before="60" w:after="160" w:line="269" w:lineRule="auto"/>
      </w:pPr>
      <w:r>
        <w:rPr>
          <w:rFonts w:ascii="Avenir" w:hAnsi="Avenir" w:eastAsia="Avenir" w:cs="Avenir"/>
          <w:b/>
          <w:color w:val="9B2C57"/>
          <w:sz w:val="21"/>
        </w:rPr>
        <w:t xml:space="preserve">Important limitation: </w:t>
      </w:r>
      <w:r>
        <w:rPr>
          <w:rFonts w:ascii="Avenir" w:hAnsi="Avenir" w:eastAsia="Avenir" w:cs="Avenir"/>
          <w:color w:val="3A1A28"/>
          <w:sz w:val="21"/>
        </w:rPr>
        <w:t>Crisis-language screening occurs when a user interacts with the system. It is not proof that a human is watching in real time, it does not observe behavior outside Pippa, and it can produce both false positives and false negatives. Pippa should never be the only element of a patient's safety plan.</w:t>
      </w:r>
    </w:p>
    <w:p>
      <w:pPr>
        <w:pStyle w:val="Heading2"/>
        <w:keepNext/>
      </w:pPr>
      <w:r>
        <w:rPr>
          <w:rFonts w:ascii="Avenir" w:hAnsi="Avenir" w:eastAsia="Avenir" w:cs="Avenir"/>
        </w:rPr>
        <w:t>Transparency and transcript access</w:t>
      </w:r>
    </w:p>
    <w:p>
      <w:r>
        <w:rPr>
          <w:rFonts w:ascii="Avenir" w:hAnsi="Avenir" w:eastAsia="Avenir" w:cs="Avenir"/>
        </w:rPr>
        <w:t>Pippa identifies the chat as AI. In Pippa's connected-clinician workflow, transcripts can be reviewed by the care team under the patient's consent settings. The product should clearly explain who can see each conversation, when sharing is on, how long data is kept, and how access can be revoked. Family/supporter views remain separately scoped.</w:t>
      </w:r>
    </w:p>
    <w:p>
      <w:pPr>
        <w:pStyle w:val="Heading1"/>
        <w:keepNext/>
      </w:pPr>
      <w:r>
        <w:rPr>
          <w:rFonts w:ascii="Avenir" w:hAnsi="Avenir" w:eastAsia="Avenir" w:cs="Avenir"/>
        </w:rPr>
        <w:t>5. Detecting when a patient may need more help</w:t>
      </w:r>
    </w:p>
    <w:p>
      <w:r>
        <w:rPr>
          <w:rFonts w:ascii="Avenir" w:hAnsi="Avenir" w:eastAsia="Avenir" w:cs="Avenir"/>
        </w:rPr>
        <w:t>Pippa's early-concern layer is best understood as longitudinal pattern detection, not diagnosis. Ecological momentary assessment research shows the value of capturing symptoms, context, and triggers near the time they occur, while studies of eating-disorder self-monitoring apps illustrate the practical role of reminders and clinician linkage. These findings support the general approach; they do not validate a particular Pippa alert rule.</w:t>
      </w:r>
      <w:r>
        <w:rPr>
          <w:rFonts w:ascii="Avenir" w:hAnsi="Avenir" w:eastAsia="Avenir" w:cs="Avenir"/>
        </w:rPr>
        <w:t xml:space="preserve"> </w:t>
      </w:r>
      <w:hyperlink r:id="rId23">
        <w:r>
          <w:rPr>
            <w:rFonts w:ascii="Avenir" w:hAnsi="Avenir" w:eastAsia="Avenir" w:cs="Avenir"/>
            <w:color w:val="B83C72"/>
            <w:sz w:val="16"/>
            <w:vertAlign w:val="superscript"/>
          </w:rPr>
          <w:t>[11]</w:t>
        </w:r>
      </w:hyperlink>
      <w:r>
        <w:rPr>
          <w:rFonts w:ascii="Avenir" w:hAnsi="Avenir" w:eastAsia="Avenir" w:cs="Avenir"/>
        </w:rPr>
        <w:t xml:space="preserve"> </w:t>
      </w:r>
      <w:hyperlink r:id="rId24">
        <w:r>
          <w:rPr>
            <w:rFonts w:ascii="Avenir" w:hAnsi="Avenir" w:eastAsia="Avenir" w:cs="Avenir"/>
            <w:color w:val="B83C72"/>
            <w:sz w:val="16"/>
            <w:vertAlign w:val="superscript"/>
          </w:rPr>
          <w:t>[12]</w:t>
        </w:r>
      </w:hyperlink>
    </w:p>
    <w:p>
      <w:pPr>
        <w:pStyle w:val="Heading2"/>
        <w:keepNext/>
      </w:pPr>
      <w:r>
        <w:rPr>
          <w:rFonts w:ascii="Avenir" w:hAnsi="Avenir" w:eastAsia="Avenir" w:cs="Avenir"/>
        </w:rPr>
        <w:t>Potential signal families</w:t>
      </w:r>
    </w:p>
    <w:p>
      <w:pPr>
        <w:numPr>
          <w:ilvl w:val="0"/>
          <w:numId w:val="10"/>
        </w:numPr>
        <w:spacing w:after="110" w:line="269" w:lineRule="auto"/>
      </w:pPr>
      <w:r>
        <w:rPr>
          <w:rFonts w:ascii="Avenir" w:hAnsi="Avenir" w:eastAsia="Avenir" w:cs="Avenir"/>
          <w:b/>
          <w:color w:val="B83C72"/>
        </w:rPr>
        <w:t>Meal pattern:</w:t>
      </w:r>
      <w:r>
        <w:rPr>
          <w:rFonts w:ascii="Avenir" w:hAnsi="Avenir" w:eastAsia="Avenir" w:cs="Avenir"/>
        </w:rPr>
        <w:t xml:space="preserve"> repeated scheduled meals marked skipped, longer gaps between logs, or a sustained drop in completion relative to the person's own baseline.</w:t>
      </w:r>
    </w:p>
    <w:p>
      <w:pPr>
        <w:numPr>
          <w:ilvl w:val="0"/>
          <w:numId w:val="10"/>
        </w:numPr>
        <w:spacing w:after="110" w:line="269" w:lineRule="auto"/>
      </w:pPr>
      <w:r>
        <w:rPr>
          <w:rFonts w:ascii="Avenir" w:hAnsi="Avenir" w:eastAsia="Avenir" w:cs="Avenir"/>
          <w:b/>
          <w:color w:val="B83C72"/>
        </w:rPr>
        <w:t>Check-in pattern:</w:t>
      </w:r>
      <w:r>
        <w:rPr>
          <w:rFonts w:ascii="Avenir" w:hAnsi="Avenir" w:eastAsia="Avenir" w:cs="Avenir"/>
        </w:rPr>
        <w:t xml:space="preserve"> increasing distress, urges, guilt, fear, or avoidance after meals when the patient chooses to report these items.</w:t>
      </w:r>
    </w:p>
    <w:p>
      <w:pPr>
        <w:numPr>
          <w:ilvl w:val="0"/>
          <w:numId w:val="10"/>
        </w:numPr>
        <w:spacing w:after="110" w:line="269" w:lineRule="auto"/>
      </w:pPr>
      <w:r>
        <w:rPr>
          <w:rFonts w:ascii="Avenir" w:hAnsi="Avenir" w:eastAsia="Avenir" w:cs="Avenir"/>
          <w:b/>
          <w:color w:val="B83C72"/>
        </w:rPr>
        <w:t>Change pattern:</w:t>
      </w:r>
      <w:r>
        <w:rPr>
          <w:rFonts w:ascii="Avenir" w:hAnsi="Avenir" w:eastAsia="Avenir" w:cs="Avenir"/>
        </w:rPr>
        <w:t xml:space="preserve"> an abrupt shift in meal timing, app engagement, or response style that is unusual for that individual.</w:t>
      </w:r>
    </w:p>
    <w:p>
      <w:pPr>
        <w:numPr>
          <w:ilvl w:val="0"/>
          <w:numId w:val="10"/>
        </w:numPr>
        <w:spacing w:after="110" w:line="269" w:lineRule="auto"/>
      </w:pPr>
      <w:r>
        <w:rPr>
          <w:rFonts w:ascii="Avenir" w:hAnsi="Avenir" w:eastAsia="Avenir" w:cs="Avenir"/>
          <w:b/>
          <w:color w:val="B83C72"/>
        </w:rPr>
        <w:t>Language pattern:</w:t>
      </w:r>
      <w:r>
        <w:rPr>
          <w:rFonts w:ascii="Avenir" w:hAnsi="Avenir" w:eastAsia="Avenir" w:cs="Avenir"/>
        </w:rPr>
        <w:t xml:space="preserve"> repeated references to restriction, purging, compensatory behavior, fainting/medical instability, self-harm, hopelessness, or inability to stay safe.</w:t>
      </w:r>
    </w:p>
    <w:p>
      <w:pPr>
        <w:numPr>
          <w:ilvl w:val="0"/>
          <w:numId w:val="10"/>
        </w:numPr>
        <w:spacing w:after="110" w:line="269" w:lineRule="auto"/>
      </w:pPr>
      <w:r>
        <w:rPr>
          <w:rFonts w:ascii="Avenir" w:hAnsi="Avenir" w:eastAsia="Avenir" w:cs="Avenir"/>
          <w:b/>
          <w:color w:val="B83C72"/>
        </w:rPr>
        <w:t>Corroboration:</w:t>
      </w:r>
      <w:r>
        <w:rPr>
          <w:rFonts w:ascii="Avenir" w:hAnsi="Avenir" w:eastAsia="Avenir" w:cs="Avenir"/>
        </w:rPr>
        <w:t xml:space="preserve"> several weak signals occurring together should matter more than one isolated data point.</w:t>
      </w:r>
    </w:p>
    <w:p>
      <w:pPr>
        <w:keepLines/>
        <w:spacing w:before="40" w:after="160" w:line="264" w:lineRule="auto"/>
      </w:pPr>
      <w:r>
        <w:rPr>
          <w:rFonts w:ascii="Avenir" w:hAnsi="Avenir" w:eastAsia="Avenir" w:cs="Avenir"/>
          <w:b/>
          <w:color w:val="B83C72"/>
          <w:sz w:val="21"/>
        </w:rPr>
        <w:t>One missed or late log</w:t>
      </w:r>
      <w:r>
        <w:rPr>
          <w:rFonts w:ascii="Avenir" w:hAnsi="Avenir" w:eastAsia="Avenir" w:cs="Avenir"/>
        </w:rPr>
        <w:br/>
      </w:r>
      <w:r>
        <w:rPr>
          <w:rFonts w:ascii="Avenir" w:hAnsi="Avenir" w:eastAsia="Avenir" w:cs="Avenir"/>
          <w:color w:val="6E4A5A"/>
          <w:sz w:val="19"/>
        </w:rPr>
        <w:t>This could reflect schedule, privacy, forgetfulness, or a difficult meal.</w:t>
      </w:r>
      <w:r>
        <w:rPr>
          <w:rFonts w:ascii="Avenir" w:hAnsi="Avenir" w:eastAsia="Avenir" w:cs="Avenir"/>
        </w:rPr>
        <w:br/>
      </w:r>
      <w:r>
        <w:rPr>
          <w:rFonts w:ascii="Avenir" w:hAnsi="Avenir" w:eastAsia="Avenir" w:cs="Avenir"/>
          <w:b/>
          <w:color w:val="3A1A28"/>
          <w:sz w:val="19"/>
        </w:rPr>
        <w:t xml:space="preserve">Appropriate response: </w:t>
      </w:r>
      <w:r>
        <w:rPr>
          <w:rFonts w:ascii="Avenir" w:hAnsi="Avenir" w:eastAsia="Avenir" w:cs="Avenir"/>
          <w:color w:val="3A1A28"/>
          <w:sz w:val="19"/>
        </w:rPr>
        <w:t>Use a gentle, non-shaming reminder; do not create a diagnosis or automatic high-risk label.</w:t>
      </w:r>
    </w:p>
    <w:p>
      <w:pPr>
        <w:keepLines/>
        <w:spacing w:before="40" w:after="160" w:line="264" w:lineRule="auto"/>
      </w:pPr>
      <w:r>
        <w:rPr>
          <w:rFonts w:ascii="Avenir" w:hAnsi="Avenir" w:eastAsia="Avenir" w:cs="Avenir"/>
          <w:b/>
          <w:color w:val="B83C72"/>
          <w:sz w:val="21"/>
        </w:rPr>
        <w:t>Repeated misses plus rising distress</w:t>
      </w:r>
      <w:r>
        <w:rPr>
          <w:rFonts w:ascii="Avenir" w:hAnsi="Avenir" w:eastAsia="Avenir" w:cs="Avenir"/>
        </w:rPr>
        <w:br/>
      </w:r>
      <w:r>
        <w:rPr>
          <w:rFonts w:ascii="Avenir" w:hAnsi="Avenir" w:eastAsia="Avenir" w:cs="Avenir"/>
          <w:color w:val="6E4A5A"/>
          <w:sz w:val="19"/>
        </w:rPr>
        <w:t>This is a sustained departure from the patient's own recent pattern.</w:t>
      </w:r>
      <w:r>
        <w:rPr>
          <w:rFonts w:ascii="Avenir" w:hAnsi="Avenir" w:eastAsia="Avenir" w:cs="Avenir"/>
        </w:rPr>
        <w:br/>
      </w:r>
      <w:r>
        <w:rPr>
          <w:rFonts w:ascii="Avenir" w:hAnsi="Avenir" w:eastAsia="Avenir" w:cs="Avenir"/>
          <w:b/>
          <w:color w:val="3A1A28"/>
          <w:sz w:val="19"/>
        </w:rPr>
        <w:t xml:space="preserve">Appropriate response: </w:t>
      </w:r>
      <w:r>
        <w:rPr>
          <w:rFonts w:ascii="Avenir" w:hAnsi="Avenir" w:eastAsia="Avenir" w:cs="Avenir"/>
          <w:color w:val="3A1A28"/>
          <w:sz w:val="19"/>
        </w:rPr>
        <w:t>Offer a check-in and show a reason-coded dashboard signal for clinician review.</w:t>
      </w:r>
    </w:p>
    <w:p>
      <w:pPr>
        <w:keepLines/>
        <w:spacing w:before="40" w:after="160" w:line="264" w:lineRule="auto"/>
      </w:pPr>
      <w:r>
        <w:rPr>
          <w:rFonts w:ascii="Avenir" w:hAnsi="Avenir" w:eastAsia="Avenir" w:cs="Avenir"/>
          <w:b/>
          <w:color w:val="B83C72"/>
          <w:sz w:val="21"/>
        </w:rPr>
        <w:t>Abrupt change plus concerning language</w:t>
      </w:r>
      <w:r>
        <w:rPr>
          <w:rFonts w:ascii="Avenir" w:hAnsi="Avenir" w:eastAsia="Avenir" w:cs="Avenir"/>
        </w:rPr>
        <w:br/>
      </w:r>
      <w:r>
        <w:rPr>
          <w:rFonts w:ascii="Avenir" w:hAnsi="Avenir" w:eastAsia="Avenir" w:cs="Avenir"/>
          <w:color w:val="6E4A5A"/>
          <w:sz w:val="19"/>
        </w:rPr>
        <w:t>Several channels suggest that more support may be useful.</w:t>
      </w:r>
      <w:r>
        <w:rPr>
          <w:rFonts w:ascii="Avenir" w:hAnsi="Avenir" w:eastAsia="Avenir" w:cs="Avenir"/>
        </w:rPr>
        <w:br/>
      </w:r>
      <w:r>
        <w:rPr>
          <w:rFonts w:ascii="Avenir" w:hAnsi="Avenir" w:eastAsia="Avenir" w:cs="Avenir"/>
          <w:b/>
          <w:color w:val="3A1A28"/>
          <w:sz w:val="19"/>
        </w:rPr>
        <w:t xml:space="preserve">Appropriate response: </w:t>
      </w:r>
      <w:r>
        <w:rPr>
          <w:rFonts w:ascii="Avenir" w:hAnsi="Avenir" w:eastAsia="Avenir" w:cs="Avenir"/>
          <w:color w:val="3A1A28"/>
          <w:sz w:val="19"/>
        </w:rPr>
        <w:t>Create a higher-priority review prompt and encourage contact with the care team or safety-plan person.</w:t>
      </w:r>
    </w:p>
    <w:p>
      <w:pPr>
        <w:keepLines/>
        <w:spacing w:before="40" w:after="160" w:line="264" w:lineRule="auto"/>
      </w:pPr>
      <w:r>
        <w:rPr>
          <w:rFonts w:ascii="Avenir" w:hAnsi="Avenir" w:eastAsia="Avenir" w:cs="Avenir"/>
          <w:b/>
          <w:color w:val="B83C72"/>
          <w:sz w:val="21"/>
        </w:rPr>
        <w:t>Possible imminent self-harm or danger</w:t>
      </w:r>
      <w:r>
        <w:rPr>
          <w:rFonts w:ascii="Avenir" w:hAnsi="Avenir" w:eastAsia="Avenir" w:cs="Avenir"/>
        </w:rPr>
        <w:br/>
      </w:r>
      <w:r>
        <w:rPr>
          <w:rFonts w:ascii="Avenir" w:hAnsi="Avenir" w:eastAsia="Avenir" w:cs="Avenir"/>
          <w:color w:val="6E4A5A"/>
          <w:sz w:val="19"/>
        </w:rPr>
        <w:t>Language may indicate an acute crisis, but automated interpretation can be wrong.</w:t>
      </w:r>
      <w:r>
        <w:rPr>
          <w:rFonts w:ascii="Avenir" w:hAnsi="Avenir" w:eastAsia="Avenir" w:cs="Avenir"/>
        </w:rPr>
        <w:br/>
      </w:r>
      <w:r>
        <w:rPr>
          <w:rFonts w:ascii="Avenir" w:hAnsi="Avenir" w:eastAsia="Avenir" w:cs="Avenir"/>
          <w:b/>
          <w:color w:val="3A1A28"/>
          <w:sz w:val="19"/>
        </w:rPr>
        <w:t xml:space="preserve">Appropriate response: </w:t>
      </w:r>
      <w:r>
        <w:rPr>
          <w:rFonts w:ascii="Avenir" w:hAnsi="Avenir" w:eastAsia="Avenir" w:cs="Avenir"/>
          <w:color w:val="3A1A28"/>
          <w:sz w:val="19"/>
        </w:rPr>
        <w:t>Use the immediate crisis pathway and local emergency guidance; never wait for an app alert alone.</w:t>
      </w:r>
    </w:p>
    <w:p>
      <w:pPr>
        <w:pStyle w:val="Caption"/>
        <w:spacing w:before="80" w:after="80"/>
      </w:pPr>
      <w:r>
        <w:rPr>
          <w:rFonts w:ascii="Avenir" w:hAnsi="Avenir" w:eastAsia="Avenir" w:cs="Avenir"/>
          <w:color w:val="6E4A5A"/>
        </w:rPr>
        <w:t>Illustrative responses only. Actual thresholds should be clinically governed, tested, and configurable.</w:t>
      </w:r>
    </w:p>
    <w:p>
      <w:pPr>
        <w:pStyle w:val="Heading2"/>
        <w:keepNext/>
      </w:pPr>
      <w:r>
        <w:rPr>
          <w:rFonts w:ascii="Avenir" w:hAnsi="Avenir" w:eastAsia="Avenir" w:cs="Avenir"/>
        </w:rPr>
        <w:t>Make every signal explainable</w:t>
      </w:r>
    </w:p>
    <w:p>
      <w:r>
        <w:rPr>
          <w:rFonts w:ascii="Avenir" w:hAnsi="Avenir" w:eastAsia="Avenir" w:cs="Avenir"/>
        </w:rPr>
        <w:t>The clinician should see why a signal appeared, for example: '3 scheduled meals were marked skipped in 48 hours and reported post-meal distress increased.' Pippa should avoid an opaque label such as 'high risk' without evidence. The clinician must be able to acknowledge, dismiss, or correct a signal, and the patient's record should preserve that interpretation.</w:t>
      </w:r>
    </w:p>
    <w:p>
      <w:pPr>
        <w:spacing w:before="60" w:after="160" w:line="269" w:lineRule="auto"/>
      </w:pPr>
      <w:r>
        <w:rPr>
          <w:rFonts w:ascii="Avenir" w:hAnsi="Avenir" w:eastAsia="Avenir" w:cs="Avenir"/>
          <w:b/>
          <w:color w:val="B83C72"/>
          <w:sz w:val="21"/>
        </w:rPr>
        <w:t xml:space="preserve">Preferred label: </w:t>
      </w:r>
      <w:r>
        <w:rPr>
          <w:rFonts w:ascii="Avenir" w:hAnsi="Avenir" w:eastAsia="Avenir" w:cs="Avenir"/>
          <w:color w:val="3A1A28"/>
          <w:sz w:val="21"/>
        </w:rPr>
        <w:t>'Needs review' or 'change from baseline' is more accurate than 'relapse detected.' A flag is a prompt to look, ask, and use clinical judgment.</w:t>
      </w:r>
    </w:p>
    <w:p>
      <w:pPr>
        <w:pStyle w:val="Heading1"/>
        <w:keepNext/>
      </w:pPr>
      <w:r>
        <w:rPr>
          <w:rFonts w:ascii="Avenir" w:hAnsi="Avenir" w:eastAsia="Avenir" w:cs="Avenir"/>
        </w:rPr>
        <w:t>6. Clinical safeguards and validation</w:t>
      </w:r>
    </w:p>
    <w:p>
      <w:r>
        <w:rPr>
          <w:rFonts w:ascii="Avenir" w:hAnsi="Avenir" w:eastAsia="Avenir" w:cs="Avenir"/>
        </w:rPr>
        <w:t>Because Pippa operates in a sensitive health context, useful AI performance is broader than top-1 accuracy. The system should be evaluated for uncertainty, equity, safety, and the practical consequences of both missed and unnecessary alerts. APA and NICE guidance remain the clinical reference points; the app supports care but does not replace assessment, monitoring, or treatment planning.</w:t>
      </w:r>
      <w:r>
        <w:rPr>
          <w:rFonts w:ascii="Avenir" w:hAnsi="Avenir" w:eastAsia="Avenir" w:cs="Avenir"/>
        </w:rPr>
        <w:t xml:space="preserve"> </w:t>
      </w:r>
      <w:hyperlink r:id="rId25">
        <w:r>
          <w:rPr>
            <w:rFonts w:ascii="Avenir" w:hAnsi="Avenir" w:eastAsia="Avenir" w:cs="Avenir"/>
            <w:color w:val="B83C72"/>
            <w:sz w:val="16"/>
            <w:vertAlign w:val="superscript"/>
          </w:rPr>
          <w:t>[13]</w:t>
        </w:r>
      </w:hyperlink>
      <w:r>
        <w:rPr>
          <w:rFonts w:ascii="Avenir" w:hAnsi="Avenir" w:eastAsia="Avenir" w:cs="Avenir"/>
        </w:rPr>
        <w:t xml:space="preserve"> </w:t>
      </w:r>
      <w:hyperlink r:id="rId26">
        <w:r>
          <w:rPr>
            <w:rFonts w:ascii="Avenir" w:hAnsi="Avenir" w:eastAsia="Avenir" w:cs="Avenir"/>
            <w:color w:val="B83C72"/>
            <w:sz w:val="16"/>
            <w:vertAlign w:val="superscript"/>
          </w:rPr>
          <w:t>[14]</w:t>
        </w:r>
      </w:hyperlink>
    </w:p>
    <w:p>
      <w:pPr>
        <w:pStyle w:val="Heading2"/>
        <w:keepNext/>
      </w:pPr>
      <w:r>
        <w:rPr>
          <w:rFonts w:ascii="Avenir" w:hAnsi="Avenir" w:eastAsia="Avenir" w:cs="Avenir"/>
        </w:rPr>
        <w:t>Minimum validation questions</w:t>
      </w:r>
    </w:p>
    <w:p>
      <w:pPr>
        <w:numPr>
          <w:ilvl w:val="0"/>
          <w:numId w:val="10"/>
        </w:numPr>
        <w:spacing w:after="110" w:line="269" w:lineRule="auto"/>
      </w:pPr>
      <w:r>
        <w:rPr>
          <w:rFonts w:ascii="Avenir" w:hAnsi="Avenir" w:eastAsia="Avenir" w:cs="Avenir"/>
        </w:rPr>
        <w:t>Recognition: How often is the correct food in the top candidate set across cuisines, mixed dishes, lighting conditions, camera types, and preparation styles?</w:t>
      </w:r>
    </w:p>
    <w:p>
      <w:pPr>
        <w:numPr>
          <w:ilvl w:val="0"/>
          <w:numId w:val="10"/>
        </w:numPr>
        <w:spacing w:after="110" w:line="269" w:lineRule="auto"/>
      </w:pPr>
      <w:r>
        <w:rPr>
          <w:rFonts w:ascii="Avenir" w:hAnsi="Avenir" w:eastAsia="Avenir" w:cs="Avenir"/>
        </w:rPr>
        <w:t>Calibration: When the model says it is 80% confident, is it correct roughly 80% of the time on representative Pippa data?</w:t>
      </w:r>
    </w:p>
    <w:p>
      <w:pPr>
        <w:numPr>
          <w:ilvl w:val="0"/>
          <w:numId w:val="10"/>
        </w:numPr>
        <w:spacing w:after="110" w:line="269" w:lineRule="auto"/>
      </w:pPr>
      <w:r>
        <w:rPr>
          <w:rFonts w:ascii="Avenir" w:hAnsi="Avenir" w:eastAsia="Avenir" w:cs="Avenir"/>
        </w:rPr>
        <w:t>Abstention: Does the system reliably say 'I am not sure' when it encounters an unfamiliar or poor-quality meal image?</w:t>
      </w:r>
    </w:p>
    <w:p>
      <w:pPr>
        <w:numPr>
          <w:ilvl w:val="0"/>
          <w:numId w:val="10"/>
        </w:numPr>
        <w:spacing w:after="110" w:line="269" w:lineRule="auto"/>
      </w:pPr>
      <w:r>
        <w:rPr>
          <w:rFonts w:ascii="Avenir" w:hAnsi="Avenir" w:eastAsia="Avenir" w:cs="Avenir"/>
        </w:rPr>
        <w:t>Portion error: What is the median and clinically relevant worst-case error for estimated mass and energy, with and without usable depth data?</w:t>
      </w:r>
    </w:p>
    <w:p>
      <w:pPr>
        <w:numPr>
          <w:ilvl w:val="0"/>
          <w:numId w:val="10"/>
        </w:numPr>
        <w:spacing w:after="110" w:line="269" w:lineRule="auto"/>
      </w:pPr>
      <w:r>
        <w:rPr>
          <w:rFonts w:ascii="Avenir" w:hAnsi="Avenir" w:eastAsia="Avenir" w:cs="Avenir"/>
        </w:rPr>
        <w:t>Pattern signals: What are the false-positive and false-negative rates, and what happens to a patient when either type of error occurs?</w:t>
      </w:r>
    </w:p>
    <w:p>
      <w:pPr>
        <w:numPr>
          <w:ilvl w:val="0"/>
          <w:numId w:val="10"/>
        </w:numPr>
        <w:spacing w:after="110" w:line="269" w:lineRule="auto"/>
      </w:pPr>
      <w:r>
        <w:rPr>
          <w:rFonts w:ascii="Avenir" w:hAnsi="Avenir" w:eastAsia="Avenir" w:cs="Avenir"/>
        </w:rPr>
        <w:t>Subgroup performance: Are performance gaps present across cuisines, skin tones/hands in frame, ages, device types, socioeconomic contexts, and accessibility needs?</w:t>
      </w:r>
    </w:p>
    <w:p>
      <w:pPr>
        <w:numPr>
          <w:ilvl w:val="0"/>
          <w:numId w:val="10"/>
        </w:numPr>
        <w:spacing w:after="110" w:line="269" w:lineRule="auto"/>
      </w:pPr>
      <w:r>
        <w:rPr>
          <w:rFonts w:ascii="Avenir" w:hAnsi="Avenir" w:eastAsia="Avenir" w:cs="Avenir"/>
        </w:rPr>
        <w:t>Human factors: Do patients understand that the chat is AI, who sees their data, and that a flag is not a diagnosis? Can clinicians quickly understand and override the system?</w:t>
      </w:r>
    </w:p>
    <w:p>
      <w:pPr>
        <w:numPr>
          <w:ilvl w:val="0"/>
          <w:numId w:val="10"/>
        </w:numPr>
        <w:spacing w:after="110" w:line="269" w:lineRule="auto"/>
      </w:pPr>
      <w:r>
        <w:rPr>
          <w:rFonts w:ascii="Avenir" w:hAnsi="Avenir" w:eastAsia="Avenir" w:cs="Avenir"/>
        </w:rPr>
        <w:t>Drift: Are model, prompt, database, and threshold versions logged so performance can be rechecked after updates?</w:t>
      </w:r>
    </w:p>
    <w:p>
      <w:pPr>
        <w:pStyle w:val="Heading2"/>
        <w:keepNext/>
      </w:pPr>
      <w:r>
        <w:rPr>
          <w:rFonts w:ascii="Avenir" w:hAnsi="Avenir" w:eastAsia="Avenir" w:cs="Avenir"/>
        </w:rPr>
        <w:t>Governance principles</w:t>
      </w:r>
    </w:p>
    <w:p>
      <w:r>
        <w:rPr>
          <w:rFonts w:ascii="Avenir" w:hAnsi="Avenir" w:eastAsia="Avenir" w:cs="Avenir"/>
        </w:rPr>
        <w:t>NIST and WHO frameworks emphasize documented intended use, defined human roles, ongoing measurement, and risk management across the AI lifecycle. For Pippa, that means versioning models and nutrition data, testing before release, monitoring after release, reviewing safety events, and involving people with lived experience and eating-disorder clinicians in product decisions.</w:t>
      </w:r>
      <w:r>
        <w:rPr>
          <w:rFonts w:ascii="Avenir" w:hAnsi="Avenir" w:eastAsia="Avenir" w:cs="Avenir"/>
        </w:rPr>
        <w:t xml:space="preserve"> </w:t>
      </w:r>
      <w:hyperlink r:id="rId27">
        <w:r>
          <w:rPr>
            <w:rFonts w:ascii="Avenir" w:hAnsi="Avenir" w:eastAsia="Avenir" w:cs="Avenir"/>
            <w:color w:val="B83C72"/>
            <w:sz w:val="16"/>
            <w:vertAlign w:val="superscript"/>
          </w:rPr>
          <w:t>[15]</w:t>
        </w:r>
      </w:hyperlink>
      <w:r>
        <w:rPr>
          <w:rFonts w:ascii="Avenir" w:hAnsi="Avenir" w:eastAsia="Avenir" w:cs="Avenir"/>
        </w:rPr>
        <w:t xml:space="preserve"> </w:t>
      </w:r>
      <w:hyperlink r:id="rId21">
        <w:r>
          <w:rPr>
            <w:rFonts w:ascii="Avenir" w:hAnsi="Avenir" w:eastAsia="Avenir" w:cs="Avenir"/>
            <w:color w:val="B83C72"/>
            <w:sz w:val="16"/>
            <w:vertAlign w:val="superscript"/>
          </w:rPr>
          <w:t>[16]</w:t>
        </w:r>
      </w:hyperlink>
    </w:p>
    <w:p>
      <w:r>
        <w:rPr>
          <w:rFonts w:ascii="Avenir" w:hAnsi="Avenir" w:eastAsia="Avenir" w:cs="Avenir"/>
        </w:rPr>
        <w:t>Regulatory status depends on intended use, user population, claims, and functionality. Pippa's positioning and clinician-facing decision-support features should be reviewed as the product changes; the FDA's current clinical decision-support guidance is a useful starting point, but this overview is not legal advice.</w:t>
      </w:r>
      <w:r>
        <w:rPr>
          <w:rFonts w:ascii="Avenir" w:hAnsi="Avenir" w:eastAsia="Avenir" w:cs="Avenir"/>
        </w:rPr>
        <w:t xml:space="preserve"> </w:t>
      </w:r>
      <w:hyperlink r:id="rId28">
        <w:r>
          <w:rPr>
            <w:rFonts w:ascii="Avenir" w:hAnsi="Avenir" w:eastAsia="Avenir" w:cs="Avenir"/>
            <w:color w:val="B83C72"/>
            <w:sz w:val="16"/>
            <w:vertAlign w:val="superscript"/>
          </w:rPr>
          <w:t>[17]</w:t>
        </w:r>
      </w:hyperlink>
    </w:p>
    <w:p>
      <w:pPr>
        <w:pStyle w:val="Heading1"/>
        <w:keepNext/>
      </w:pPr>
      <w:r>
        <w:rPr>
          <w:rFonts w:ascii="Avenir" w:hAnsi="Avenir" w:eastAsia="Avenir" w:cs="Avenir"/>
        </w:rPr>
        <w:t>7. What a dietitian should expect</w:t>
      </w:r>
    </w:p>
    <w:p>
      <w:pPr>
        <w:numPr>
          <w:ilvl w:val="0"/>
          <w:numId w:val="10"/>
        </w:numPr>
        <w:spacing w:after="110" w:line="269" w:lineRule="auto"/>
      </w:pPr>
      <w:r>
        <w:rPr>
          <w:rFonts w:ascii="Avenir" w:hAnsi="Avenir" w:eastAsia="Avenir" w:cs="Avenir"/>
        </w:rPr>
        <w:t>Patient-facing logging that can remain free of calorie numbers while still supporting structured meal plans and check-ins.</w:t>
      </w:r>
    </w:p>
    <w:p>
      <w:pPr>
        <w:numPr>
          <w:ilvl w:val="0"/>
          <w:numId w:val="10"/>
        </w:numPr>
        <w:spacing w:after="110" w:line="269" w:lineRule="auto"/>
      </w:pPr>
      <w:r>
        <w:rPr>
          <w:rFonts w:ascii="Avenir" w:hAnsi="Avenir" w:eastAsia="Avenir" w:cs="Avenir"/>
        </w:rPr>
        <w:t>A clinician view that distinguishes an AI estimate from a patient-confirmed food and from a clinician-entered value.</w:t>
      </w:r>
    </w:p>
    <w:p>
      <w:pPr>
        <w:numPr>
          <w:ilvl w:val="0"/>
          <w:numId w:val="10"/>
        </w:numPr>
        <w:spacing w:after="110" w:line="269" w:lineRule="auto"/>
      </w:pPr>
      <w:r>
        <w:rPr>
          <w:rFonts w:ascii="Avenir" w:hAnsi="Avenir" w:eastAsia="Avenir" w:cs="Avenir"/>
        </w:rPr>
        <w:t>Uncertainty ranges and source provenance for portion and energy estimates, rather than false precision.</w:t>
      </w:r>
    </w:p>
    <w:p>
      <w:pPr>
        <w:numPr>
          <w:ilvl w:val="0"/>
          <w:numId w:val="10"/>
        </w:numPr>
        <w:spacing w:after="110" w:line="269" w:lineRule="auto"/>
      </w:pPr>
      <w:r>
        <w:rPr>
          <w:rFonts w:ascii="Avenir" w:hAnsi="Avenir" w:eastAsia="Avenir" w:cs="Avenir"/>
        </w:rPr>
        <w:t>Trend views that prioritize changes over time and the patient's own baseline.</w:t>
      </w:r>
    </w:p>
    <w:p>
      <w:pPr>
        <w:numPr>
          <w:ilvl w:val="0"/>
          <w:numId w:val="10"/>
        </w:numPr>
        <w:spacing w:after="110" w:line="269" w:lineRule="auto"/>
      </w:pPr>
      <w:r>
        <w:rPr>
          <w:rFonts w:ascii="Avenir" w:hAnsi="Avenir" w:eastAsia="Avenir" w:cs="Avenir"/>
        </w:rPr>
        <w:t>Reason-coded concern signals that invite review, not automated conclusions.</w:t>
      </w:r>
    </w:p>
    <w:p>
      <w:pPr>
        <w:numPr>
          <w:ilvl w:val="0"/>
          <w:numId w:val="10"/>
        </w:numPr>
        <w:spacing w:after="110" w:line="269" w:lineRule="auto"/>
      </w:pPr>
      <w:r>
        <w:rPr>
          <w:rFonts w:ascii="Avenir" w:hAnsi="Avenir" w:eastAsia="Avenir" w:cs="Avenir"/>
        </w:rPr>
        <w:t>Configurable sharing and visibility, with clear separation among patient, clinician, and family/supporter roles.</w:t>
      </w:r>
    </w:p>
    <w:p>
      <w:pPr>
        <w:numPr>
          <w:ilvl w:val="0"/>
          <w:numId w:val="10"/>
        </w:numPr>
        <w:spacing w:after="110" w:line="269" w:lineRule="auto"/>
      </w:pPr>
      <w:r>
        <w:rPr>
          <w:rFonts w:ascii="Avenir" w:hAnsi="Avenir" w:eastAsia="Avenir" w:cs="Avenir"/>
        </w:rPr>
        <w:t>A clear route to correct food labels, portions, chat interpretations, and concern flags.</w:t>
      </w:r>
    </w:p>
    <w:p>
      <w:pPr>
        <w:pStyle w:val="Heading2"/>
        <w:keepNext/>
      </w:pPr>
      <w:r>
        <w:rPr>
          <w:rFonts w:ascii="Avenir" w:hAnsi="Avenir" w:eastAsia="Avenir" w:cs="Avenir"/>
        </w:rPr>
        <w:t>Questions Pippa welcomes from clinicians</w:t>
      </w:r>
    </w:p>
    <w:p>
      <w:pPr>
        <w:numPr>
          <w:ilvl w:val="0"/>
          <w:numId w:val="10"/>
        </w:numPr>
        <w:spacing w:after="110" w:line="269" w:lineRule="auto"/>
      </w:pPr>
      <w:r>
        <w:rPr>
          <w:rFonts w:ascii="Avenir" w:hAnsi="Avenir" w:eastAsia="Avenir" w:cs="Avenir"/>
        </w:rPr>
        <w:t>Which estimates are currently live, in pilot, or on the roadmap?</w:t>
      </w:r>
    </w:p>
    <w:p>
      <w:pPr>
        <w:numPr>
          <w:ilvl w:val="0"/>
          <w:numId w:val="10"/>
        </w:numPr>
        <w:spacing w:after="110" w:line="269" w:lineRule="auto"/>
      </w:pPr>
      <w:r>
        <w:rPr>
          <w:rFonts w:ascii="Avenir" w:hAnsi="Avenir" w:eastAsia="Avenir" w:cs="Avenir"/>
        </w:rPr>
        <w:t>What model and database versions produced a particular result?</w:t>
      </w:r>
    </w:p>
    <w:p>
      <w:pPr>
        <w:numPr>
          <w:ilvl w:val="0"/>
          <w:numId w:val="10"/>
        </w:numPr>
        <w:spacing w:after="110" w:line="269" w:lineRule="auto"/>
      </w:pPr>
      <w:r>
        <w:rPr>
          <w:rFonts w:ascii="Avenir" w:hAnsi="Avenir" w:eastAsia="Avenir" w:cs="Avenir"/>
        </w:rPr>
        <w:t>How was performance tested on mixed meals and culturally diverse foods?</w:t>
      </w:r>
    </w:p>
    <w:p>
      <w:pPr>
        <w:numPr>
          <w:ilvl w:val="0"/>
          <w:numId w:val="10"/>
        </w:numPr>
        <w:spacing w:after="110" w:line="269" w:lineRule="auto"/>
      </w:pPr>
      <w:r>
        <w:rPr>
          <w:rFonts w:ascii="Avenir" w:hAnsi="Avenir" w:eastAsia="Avenir" w:cs="Avenir"/>
        </w:rPr>
        <w:t>What thresholds trigger clarification, abstention, a patient check-in, or a clinician-facing signal?</w:t>
      </w:r>
    </w:p>
    <w:p>
      <w:pPr>
        <w:numPr>
          <w:ilvl w:val="0"/>
          <w:numId w:val="10"/>
        </w:numPr>
        <w:spacing w:after="110" w:line="269" w:lineRule="auto"/>
      </w:pPr>
      <w:r>
        <w:rPr>
          <w:rFonts w:ascii="Avenir" w:hAnsi="Avenir" w:eastAsia="Avenir" w:cs="Avenir"/>
        </w:rPr>
        <w:t>Who can see photos, check-ins, and chats under each consent setting?</w:t>
      </w:r>
    </w:p>
    <w:p>
      <w:pPr>
        <w:numPr>
          <w:ilvl w:val="0"/>
          <w:numId w:val="10"/>
        </w:numPr>
        <w:spacing w:after="110" w:line="269" w:lineRule="auto"/>
      </w:pPr>
      <w:r>
        <w:rPr>
          <w:rFonts w:ascii="Avenir" w:hAnsi="Avenir" w:eastAsia="Avenir" w:cs="Avenir"/>
        </w:rPr>
        <w:t>How are corrections, complaints, and safety incidents reviewed?</w:t>
      </w:r>
    </w:p>
    <w:p>
      <w:pPr>
        <w:numPr>
          <w:ilvl w:val="0"/>
          <w:numId w:val="10"/>
        </w:numPr>
        <w:spacing w:after="110" w:line="269" w:lineRule="auto"/>
      </w:pPr>
      <w:r>
        <w:rPr>
          <w:rFonts w:ascii="Avenir" w:hAnsi="Avenir" w:eastAsia="Avenir" w:cs="Avenir"/>
        </w:rPr>
        <w:t>How can a clinic turn off calorie estimates, chat, or specific alerts for an individual care plan?</w:t>
      </w:r>
    </w:p>
    <w:p>
      <w:pPr>
        <w:pStyle w:val="Heading1"/>
        <w:keepNext/>
      </w:pPr>
      <w:r>
        <w:rPr>
          <w:rFonts w:ascii="Avenir" w:hAnsi="Avenir" w:eastAsia="Avenir" w:cs="Avenir"/>
        </w:rPr>
        <w:t>Pippa product links</w:t>
      </w:r>
    </w:p>
    <w:p>
      <w:hyperlink r:id="rId29">
        <w:r>
          <w:rPr>
            <w:rFonts w:ascii="Avenir" w:hAnsi="Avenir" w:eastAsia="Avenir" w:cs="Avenir"/>
            <w:color w:val="B83C72"/>
            <w:u w:val="single"/>
            <w:b/>
          </w:rPr>
          <w:t>Pippa website and clinician overview</w:t>
        </w:r>
      </w:hyperlink>
      <w:r>
        <w:rPr>
          <w:rFonts w:ascii="Avenir" w:hAnsi="Avenir" w:eastAsia="Avenir" w:cs="Avenir"/>
        </w:rPr>
        <w:t xml:space="preserve"> - Patient experience, clinical approach, privacy/safety overview, and demo links.</w:t>
      </w:r>
    </w:p>
    <w:p>
      <w:hyperlink r:id="rId30">
        <w:r>
          <w:rPr>
            <w:rFonts w:ascii="Avenir" w:hAnsi="Avenir" w:eastAsia="Avenir" w:cs="Avenir"/>
            <w:color w:val="B83C72"/>
            <w:u w:val="single"/>
            <w:b/>
          </w:rPr>
          <w:t>Live clinician dashboard demo</w:t>
        </w:r>
      </w:hyperlink>
      <w:r>
        <w:rPr>
          <w:rFonts w:ascii="Avenir" w:hAnsi="Avenir" w:eastAsia="Avenir" w:cs="Avenir"/>
        </w:rPr>
        <w:t xml:space="preserve"> - Demo data only; best viewed on a laptop.</w:t>
      </w:r>
    </w:p>
    <w:p>
      <w:hyperlink r:id="rId31">
        <w:r>
          <w:rPr>
            <w:rFonts w:ascii="Avenir" w:hAnsi="Avenir" w:eastAsia="Avenir" w:cs="Avenir"/>
            <w:color w:val="B83C72"/>
            <w:u w:val="single"/>
            <w:b/>
          </w:rPr>
          <w:t>Pippa clinician hub</w:t>
        </w:r>
      </w:hyperlink>
      <w:r>
        <w:rPr>
          <w:rFonts w:ascii="Avenir" w:hAnsi="Avenir" w:eastAsia="Avenir" w:cs="Avenir"/>
        </w:rPr>
        <w:t xml:space="preserve"> - Setup guides and clinician-facing product resources.</w:t>
      </w:r>
    </w:p>
    <w:p>
      <w:pPr>
        <w:pStyle w:val="Heading1"/>
        <w:keepNext/>
      </w:pPr>
      <w:r>
        <w:rPr>
          <w:rFonts w:ascii="Avenir" w:hAnsi="Avenir" w:eastAsia="Avenir" w:cs="Avenir"/>
        </w:rPr>
        <w:t>A few useful research links</w:t>
      </w:r>
    </w:p>
    <w:p>
      <w:r>
        <w:rPr>
          <w:rFonts w:ascii="Avenir" w:hAnsi="Avenir" w:eastAsia="Avenir" w:cs="Avenir"/>
        </w:rPr>
        <w:t>These four papers are the most directly relevant starting points for Pippa's food-image analysis, confidence handling, and clinician-connected self-monitoring approach.</w:t>
      </w:r>
    </w:p>
    <w:p>
      <w:pPr>
        <w:spacing w:after="160"/>
        <w:ind w:left="403" w:hanging="403"/>
      </w:pPr>
      <w:r>
        <w:rPr>
          <w:rFonts w:ascii="Avenir" w:hAnsi="Avenir" w:eastAsia="Avenir" w:cs="Avenir"/>
          <w:b/>
        </w:rPr>
        <w:t xml:space="preserve">1. </w:t>
      </w:r>
      <w:hyperlink r:id="rId16">
        <w:r>
          <w:rPr>
            <w:rFonts w:ascii="Avenir" w:hAnsi="Avenir" w:eastAsia="Avenir" w:cs="Avenir"/>
            <w:color w:val="B83C72"/>
            <w:u w:val="single"/>
            <w:b/>
          </w:rPr>
          <w:t>Im2Calories: Towards an Automated Mobile Vision Food Diary</w:t>
        </w:r>
      </w:hyperlink>
      <w:r>
        <w:rPr>
          <w:rFonts w:ascii="Avenir" w:hAnsi="Avenir" w:eastAsia="Avenir" w:cs="Avenir"/>
        </w:rPr>
        <w:t>. Meyers et al., ICCV 2015. Early work combining food recognition, volume estimation, and nutrition prediction from a meal image.</w:t>
      </w:r>
    </w:p>
    <w:p>
      <w:pPr>
        <w:spacing w:after="160"/>
        <w:ind w:left="403" w:hanging="403"/>
      </w:pPr>
      <w:r>
        <w:rPr>
          <w:rFonts w:ascii="Avenir" w:hAnsi="Avenir" w:eastAsia="Avenir" w:cs="Avenir"/>
          <w:b/>
        </w:rPr>
        <w:t xml:space="preserve">2. </w:t>
      </w:r>
      <w:hyperlink r:id="rId17">
        <w:r>
          <w:rPr>
            <w:rFonts w:ascii="Avenir" w:hAnsi="Avenir" w:eastAsia="Avenir" w:cs="Avenir"/>
            <w:color w:val="B83C72"/>
            <w:u w:val="single"/>
            <w:b/>
          </w:rPr>
          <w:t>Nutrition5k: Towards Automatic Nutritional Understanding of Generic Food</w:t>
        </w:r>
      </w:hyperlink>
      <w:r>
        <w:rPr>
          <w:rFonts w:ascii="Avenir" w:hAnsi="Avenir" w:eastAsia="Avenir" w:cs="Avenir"/>
        </w:rPr>
        <w:t>. Thames et al., CVPR 2021. A food dataset with RGB-D imagery, ingredient weights, total mass, calories, and macronutrients.</w:t>
      </w:r>
    </w:p>
    <w:p>
      <w:pPr>
        <w:spacing w:after="160"/>
        <w:ind w:left="403" w:hanging="403"/>
      </w:pPr>
      <w:r>
        <w:rPr>
          <w:rFonts w:ascii="Avenir" w:hAnsi="Avenir" w:eastAsia="Avenir" w:cs="Avenir"/>
          <w:b/>
        </w:rPr>
        <w:t xml:space="preserve">3. </w:t>
      </w:r>
      <w:hyperlink r:id="rId15">
        <w:r>
          <w:rPr>
            <w:rFonts w:ascii="Avenir" w:hAnsi="Avenir" w:eastAsia="Avenir" w:cs="Avenir"/>
            <w:color w:val="B83C72"/>
            <w:u w:val="single"/>
            <w:b/>
          </w:rPr>
          <w:t>On Calibration of Modern Neural Networks</w:t>
        </w:r>
      </w:hyperlink>
      <w:r>
        <w:rPr>
          <w:rFonts w:ascii="Avenir" w:hAnsi="Avenir" w:eastAsia="Avenir" w:cs="Avenir"/>
        </w:rPr>
        <w:t>. Guo et al., ICML 2017. Shows why neural-network confidence scores need calibration before they drive product decisions.</w:t>
      </w:r>
    </w:p>
    <w:p>
      <w:pPr>
        <w:spacing w:after="160"/>
        <w:ind w:left="403" w:hanging="403"/>
      </w:pPr>
      <w:r>
        <w:rPr>
          <w:rFonts w:ascii="Avenir" w:hAnsi="Avenir" w:eastAsia="Avenir" w:cs="Avenir"/>
          <w:b/>
        </w:rPr>
        <w:t xml:space="preserve">4. </w:t>
      </w:r>
      <w:hyperlink r:id="rId24">
        <w:r>
          <w:rPr>
            <w:rFonts w:ascii="Avenir" w:hAnsi="Avenir" w:eastAsia="Avenir" w:cs="Avenir"/>
            <w:color w:val="B83C72"/>
            <w:u w:val="single"/>
            <w:b/>
          </w:rPr>
          <w:t>Patient Experiences Using a Self-Monitoring App in Eating Disorder Treatment</w:t>
        </w:r>
      </w:hyperlink>
      <w:r>
        <w:rPr>
          <w:rFonts w:ascii="Avenir" w:hAnsi="Avenir" w:eastAsia="Avenir" w:cs="Avenir"/>
        </w:rPr>
        <w:t>. Lindgreen et al., JMIR mHealth and uHealth 2018. A qualitative study of an eating-disorder self-monitoring app connected with clinicians.</w:t>
      </w:r>
    </w:p>
    <w:p>
      <w:pPr>
        <w:spacing w:before="60" w:after="160" w:line="269" w:lineRule="auto"/>
      </w:pPr>
      <w:r>
        <w:rPr>
          <w:rFonts w:ascii="Avenir" w:hAnsi="Avenir" w:eastAsia="Avenir" w:cs="Avenir"/>
          <w:b/>
          <w:color w:val="B83C72"/>
          <w:sz w:val="21"/>
        </w:rPr>
        <w:t xml:space="preserve">Document status: </w:t>
      </w:r>
      <w:r>
        <w:rPr>
          <w:rFonts w:ascii="Avenir" w:hAnsi="Avenir" w:eastAsia="Avenir" w:cs="Avenir"/>
          <w:color w:val="3A1A28"/>
          <w:sz w:val="21"/>
        </w:rPr>
        <w:t>Clinician-facing explanatory brief. Review after material changes to Pippa's models, thresholds, data sources, sharing controls, or intended-use claims. Last updated August 26, 2026.</w:t>
      </w:r>
    </w:p>
    <w:sectPr w:rsidR="00FC693F" w:rsidRPr="0006063C" w:rsidSect="00034616">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Avenir">
    <w:altName w:val="Arial"/>
    <w:family w:val="swiss"/>
    <w:pitch w:val="variable"/>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right"/>
    </w:pPr>
    <w:r>
      <w:rPr>
        <w:rFonts w:ascii="Avenir" w:hAnsi="Avenir" w:eastAsia="Avenir" w:cs="Avenir"/>
        <w:color w:val="6E4A5A"/>
        <w:sz w:val="16"/>
      </w:rPr>
      <w:t xml:space="preserve">getpippa.app   |   </w:t>
    </w:r>
    <w:r>
      <w:rPr>
        <w:rFonts w:ascii="Avenir" w:hAnsi="Avenir" w:eastAsia="Avenir" w:cs="Avenir"/>
        <w:color w:val="6E4A5A"/>
        <w:sz w:val="18"/>
      </w:rPr>
      <w:fldChar w:fldCharType="begin"/>
      <w:instrText xml:space="preserve"> PAGE </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tabs>
        <w:tab w:pos="9360" w:val="right"/>
      </w:tabs>
      <w:spacing w:after="0"/>
    </w:pPr>
    <w:r>
      <w:rPr>
        <w:rFonts w:ascii="Avenir" w:hAnsi="Avenir" w:eastAsia="Avenir" w:cs="Avenir"/>
        <w:b/>
        <w:color w:val="3A1A28"/>
        <w:sz w:val="17"/>
      </w:rPr>
      <w:t>Pippa</w:t>
    </w:r>
    <w:r>
      <w:rPr>
        <w:rFonts w:ascii="Avenir" w:hAnsi="Avenir" w:eastAsia="Avenir" w:cs="Avenir"/>
      </w:rPr>
      <w:tab/>
    </w:r>
    <w:r>
      <w:rPr>
        <w:rFonts w:ascii="Avenir" w:hAnsi="Avenir" w:eastAsia="Avenir" w:cs="Avenir"/>
        <w:color w:val="6E4A5A"/>
        <w:sz w:val="17"/>
      </w:rPr>
      <w:t>Clinical AI overview</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bullet"/>
      <w:lvlText w:val="•"/>
      <w:rPr>
        <w:rFonts w:ascii="Symbol" w:hAnsi="Symbol"/>
      </w:rPr>
      <w:pPr>
        <w:tabs>
          <w:tab w:val="num" w:pos="720"/>
        </w:tabs>
        <w:ind w:left="720" w:hanging="360"/>
        <w:spacing w:after="110" w:line="268" w:lineRule="auto"/>
      </w:pPr>
    </w:lvl>
  </w:abstractNum>
  <w:num w:numId="10">
    <w:abstractNumId w:val="9"/>
  </w:num>
  <w:abstractNum w:abstractNumId="10">
    <w:multiLevelType w:val="singleLevel"/>
    <w:lvl w:ilvl="0">
      <w:start w:val="1"/>
      <w:numFmt w:val="decimal"/>
      <w:lvlText w:val="%1."/>
      <w:pPr>
        <w:tabs>
          <w:tab w:val="num" w:pos="720"/>
        </w:tabs>
        <w:ind w:left="720" w:hanging="360"/>
        <w:spacing w:after="110" w:line="268" w:lineRule="auto"/>
      </w:pPr>
    </w:lvl>
  </w:abstract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venir" w:hAnsi="Avenir" w:eastAsia="Avenir" w:cs="Avenir"/>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269" w:lineRule="auto"/>
    </w:pPr>
    <w:rPr>
      <w:rFonts w:ascii="Avenir" w:hAnsi="Avenir" w:eastAsia="Avenir" w:cs="Avenir"/>
      <w:color w:val="3A1A28"/>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rPr>
      <w:rFonts w:ascii="Avenir" w:hAnsi="Avenir" w:eastAsia="Avenir" w:cs="Avenir"/>
    </w:rPr>
  </w:style>
  <w:style w:type="character" w:customStyle="1" w:styleId="HeaderChar">
    <w:name w:val="Header Char"/>
    <w:basedOn w:val="DefaultParagraphFont"/>
    <w:link w:val="Header"/>
    <w:uiPriority w:val="99"/>
    <w:rsid w:val="00E618BF"/>
    <w:rPr>
      <w:rFonts w:ascii="Avenir" w:hAnsi="Avenir" w:eastAsia="Avenir" w:cs="Avenir"/>
    </w:rPr>
  </w:style>
  <w:style w:type="paragraph" w:styleId="Footer">
    <w:name w:val="footer"/>
    <w:basedOn w:val="Normal"/>
    <w:link w:val="FooterChar"/>
    <w:uiPriority w:val="99"/>
    <w:unhideWhenUsed/>
    <w:rsid w:val="00E618BF"/>
    <w:pPr>
      <w:tabs>
        <w:tab w:val="center" w:pos="4680"/>
        <w:tab w:val="right" w:pos="9360"/>
      </w:tabs>
      <w:spacing w:after="0" w:line="240" w:lineRule="auto"/>
    </w:pPr>
    <w:rPr>
      <w:rFonts w:ascii="Avenir" w:hAnsi="Avenir" w:eastAsia="Avenir" w:cs="Avenir"/>
    </w:rPr>
  </w:style>
  <w:style w:type="character" w:customStyle="1" w:styleId="FooterChar">
    <w:name w:val="Footer Char"/>
    <w:basedOn w:val="DefaultParagraphFont"/>
    <w:link w:val="Footer"/>
    <w:uiPriority w:val="99"/>
    <w:rsid w:val="00E618BF"/>
    <w:rPr>
      <w:rFonts w:ascii="Avenir" w:hAnsi="Avenir" w:eastAsia="Avenir" w:cs="Avenir"/>
    </w:rPr>
  </w:style>
  <w:style w:type="paragraph" w:styleId="Heading1">
    <w:name w:val="heading 1"/>
    <w:basedOn w:val="Normal"/>
    <w:next w:val="Normal"/>
    <w:link w:val="Heading1Char"/>
    <w:uiPriority w:val="9"/>
    <w:qFormat/>
    <w:rsid w:val="00FC693F"/>
    <w:pPr>
      <w:keepNext/>
      <w:keepLines/>
      <w:pageBreakBefore w:val="0"/>
      <w:spacing w:before="320" w:after="120"/>
      <w:outlineLvl w:val="0"/>
    </w:pPr>
    <w:rPr>
      <w:rFonts w:ascii="Avenir" w:hAnsi="Avenir" w:eastAsia="Avenir" w:cs="Avenir"/>
      <w:b/>
      <w:bCs/>
      <w:color w:val="3A1A28"/>
      <w:sz w:val="32"/>
      <w:szCs w:val="28"/>
    </w:rPr>
  </w:style>
  <w:style w:type="paragraph" w:styleId="Heading2">
    <w:name w:val="heading 2"/>
    <w:basedOn w:val="Normal"/>
    <w:next w:val="Normal"/>
    <w:link w:val="Heading2Char"/>
    <w:uiPriority w:val="9"/>
    <w:unhideWhenUsed/>
    <w:qFormat/>
    <w:rsid w:val="00FC693F"/>
    <w:pPr>
      <w:keepNext/>
      <w:keepLines/>
      <w:pageBreakBefore w:val="0"/>
      <w:spacing w:before="220" w:after="80"/>
      <w:outlineLvl w:val="1"/>
    </w:pPr>
    <w:rPr>
      <w:rFonts w:ascii="Avenir" w:hAnsi="Avenir" w:eastAsia="Avenir" w:cs="Avenir"/>
      <w:b/>
      <w:bCs/>
      <w:color w:val="B83C72"/>
      <w:sz w:val="25"/>
      <w:szCs w:val="26"/>
    </w:rPr>
  </w:style>
  <w:style w:type="paragraph" w:styleId="Heading3">
    <w:name w:val="heading 3"/>
    <w:basedOn w:val="Normal"/>
    <w:next w:val="Normal"/>
    <w:link w:val="Heading3Char"/>
    <w:uiPriority w:val="9"/>
    <w:unhideWhenUsed/>
    <w:qFormat/>
    <w:rsid w:val="00FC693F"/>
    <w:pPr>
      <w:keepNext/>
      <w:keepLines/>
      <w:pageBreakBefore w:val="0"/>
      <w:spacing w:before="160" w:after="60"/>
      <w:outlineLvl w:val="2"/>
    </w:pPr>
    <w:rPr>
      <w:rFonts w:ascii="Avenir" w:hAnsi="Avenir" w:eastAsia="Avenir" w:cs="Avenir"/>
      <w:b/>
      <w:bCs/>
      <w:color w:val="3A1A28"/>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Avenir" w:hAnsi="Avenir" w:eastAsia="Avenir" w:cs="Avenir"/>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Avenir" w:hAnsi="Avenir" w:eastAsia="Avenir" w:cs="Avenir"/>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Avenir" w:hAnsi="Avenir" w:eastAsia="Avenir" w:cs="Avenir"/>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Avenir" w:hAnsi="Avenir" w:eastAsia="Avenir" w:cs="Avenir"/>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Avenir" w:hAnsi="Avenir" w:eastAsia="Avenir" w:cs="Avenir"/>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Avenir" w:hAnsi="Avenir" w:eastAsia="Avenir" w:cs="Avenir"/>
      <w:i/>
      <w:iCs/>
      <w:color w:val="404040" w:themeColor="text1" w:themeTint="BF"/>
      <w:sz w:val="20"/>
      <w:szCs w:val="20"/>
    </w:rPr>
  </w:style>
  <w:style w:type="character" w:default="1" w:styleId="DefaultParagraphFont">
    <w:name w:val="Default Paragraph Font"/>
    <w:uiPriority w:val="1"/>
    <w:semiHidden/>
    <w:unhideWhenUsed/>
    <w:rPr>
      <w:rFonts w:ascii="Avenir" w:hAnsi="Avenir" w:eastAsia="Avenir" w:cs="Avenir"/>
    </w:rPr>
  </w:style>
  <w:style w:type="table" w:default="1" w:styleId="TableNormal">
    <w:name w:val="Normal Table"/>
    <w:uiPriority w:val="99"/>
    <w:semiHidden/>
    <w:unhideWhenUsed/>
    <w:tblPr>
      <w:tblInd w:w="0" w:type="dxa"/>
      <w:tblCellMar>
        <w:top w:w="0" w:type="dxa"/>
        <w:left w:w="108" w:type="dxa"/>
        <w:bottom w:w="0" w:type="dxa"/>
        <w:right w:w="108" w:type="dxa"/>
      </w:tblCellMar>
    </w:tblPr>
    <w:rPr>
      <w:rFonts w:ascii="Avenir" w:hAnsi="Avenir" w:eastAsia="Avenir" w:cs="Avenir"/>
    </w:rPr>
  </w:style>
  <w:style w:type="numbering" w:default="1" w:styleId="NoList">
    <w:name w:val="No List"/>
    <w:uiPriority w:val="99"/>
    <w:semiHidden/>
    <w:unhideWhenUsed/>
    <w:rPr>
      <w:rFonts w:ascii="Avenir" w:hAnsi="Avenir" w:eastAsia="Avenir" w:cs="Avenir"/>
    </w:rPr>
  </w:style>
  <w:style w:type="paragraph" w:styleId="NoSpacing">
    <w:name w:val="No Spacing"/>
    <w:uiPriority w:val="1"/>
    <w:qFormat/>
    <w:rsid w:val="00FC693F"/>
    <w:pPr>
      <w:spacing w:after="0" w:line="240" w:lineRule="auto"/>
    </w:pPr>
    <w:rPr>
      <w:rFonts w:ascii="Avenir" w:hAnsi="Avenir" w:eastAsia="Avenir" w:cs="Avenir"/>
    </w:rPr>
  </w:style>
  <w:style w:type="character" w:customStyle="1" w:styleId="Heading1Char">
    <w:name w:val="Heading 1 Char"/>
    <w:basedOn w:val="DefaultParagraphFont"/>
    <w:link w:val="Heading1"/>
    <w:uiPriority w:val="9"/>
    <w:rsid w:val="00FC693F"/>
    <w:rPr>
      <w:rFonts w:ascii="Avenir" w:hAnsi="Avenir" w:eastAsia="Avenir" w:cs="Avenir"/>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Avenir" w:hAnsi="Avenir" w:eastAsia="Avenir" w:cs="Avenir"/>
      <w:b/>
      <w:bCs/>
      <w:color w:val="4F81BD" w:themeColor="accent1"/>
      <w:sz w:val="26"/>
      <w:szCs w:val="26"/>
    </w:rPr>
  </w:style>
  <w:style w:type="character" w:customStyle="1" w:styleId="Heading3Char">
    <w:name w:val="Heading 3 Char"/>
    <w:basedOn w:val="DefaultParagraphFont"/>
    <w:link w:val="Heading3"/>
    <w:uiPriority w:val="9"/>
    <w:rsid w:val="00FC693F"/>
    <w:rPr>
      <w:rFonts w:ascii="Avenir" w:hAnsi="Avenir" w:eastAsia="Avenir" w:cs="Avenir"/>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Avenir" w:hAnsi="Avenir" w:eastAsia="Avenir" w:cs="Avenir"/>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Avenir" w:hAnsi="Avenir" w:eastAsia="Avenir" w:cs="Avenir"/>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Avenir" w:hAnsi="Avenir" w:eastAsia="Avenir" w:cs="Avenir"/>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Avenir" w:hAnsi="Avenir" w:eastAsia="Avenir" w:cs="Avenir"/>
      <w:i/>
      <w:iCs/>
      <w:color w:val="4F81BD" w:themeColor="accent1"/>
      <w:spacing w:val="15"/>
      <w:sz w:val="24"/>
      <w:szCs w:val="24"/>
    </w:rPr>
  </w:style>
  <w:style w:type="paragraph" w:styleId="ListParagraph">
    <w:name w:val="List Paragraph"/>
    <w:basedOn w:val="Normal"/>
    <w:uiPriority w:val="34"/>
    <w:qFormat/>
    <w:rsid w:val="00FC693F"/>
    <w:pPr>
      <w:ind w:left="720"/>
      <w:contextualSpacing/>
    </w:pPr>
    <w:rPr>
      <w:rFonts w:ascii="Avenir" w:hAnsi="Avenir" w:eastAsia="Avenir" w:cs="Avenir"/>
    </w:rPr>
  </w:style>
  <w:style w:type="paragraph" w:styleId="BodyText">
    <w:name w:val="Body Text"/>
    <w:basedOn w:val="Normal"/>
    <w:link w:val="BodyTextChar"/>
    <w:uiPriority w:val="99"/>
    <w:unhideWhenUsed/>
    <w:rsid w:val="00AA1D8D"/>
    <w:pPr>
      <w:spacing w:after="120"/>
    </w:pPr>
    <w:rPr>
      <w:rFonts w:ascii="Avenir" w:hAnsi="Avenir" w:eastAsia="Avenir" w:cs="Avenir"/>
    </w:rPr>
  </w:style>
  <w:style w:type="character" w:customStyle="1" w:styleId="BodyTextChar">
    <w:name w:val="Body Text Char"/>
    <w:basedOn w:val="DefaultParagraphFont"/>
    <w:link w:val="BodyText"/>
    <w:uiPriority w:val="99"/>
    <w:rsid w:val="00AA1D8D"/>
    <w:rPr>
      <w:rFonts w:ascii="Avenir" w:hAnsi="Avenir" w:eastAsia="Avenir" w:cs="Avenir"/>
    </w:rPr>
  </w:style>
  <w:style w:type="paragraph" w:styleId="BodyText2">
    <w:name w:val="Body Text 2"/>
    <w:basedOn w:val="Normal"/>
    <w:link w:val="BodyText2Char"/>
    <w:uiPriority w:val="99"/>
    <w:unhideWhenUsed/>
    <w:rsid w:val="00AA1D8D"/>
    <w:pPr>
      <w:spacing w:after="120" w:line="480" w:lineRule="auto"/>
    </w:pPr>
    <w:rPr>
      <w:rFonts w:ascii="Avenir" w:hAnsi="Avenir" w:eastAsia="Avenir" w:cs="Avenir"/>
    </w:rPr>
  </w:style>
  <w:style w:type="character" w:customStyle="1" w:styleId="BodyText2Char">
    <w:name w:val="Body Text 2 Char"/>
    <w:basedOn w:val="DefaultParagraphFont"/>
    <w:link w:val="BodyText2"/>
    <w:uiPriority w:val="99"/>
    <w:rsid w:val="00AA1D8D"/>
    <w:rPr>
      <w:rFonts w:ascii="Avenir" w:hAnsi="Avenir" w:eastAsia="Avenir" w:cs="Avenir"/>
    </w:rPr>
  </w:style>
  <w:style w:type="paragraph" w:styleId="BodyText3">
    <w:name w:val="Body Text 3"/>
    <w:basedOn w:val="Normal"/>
    <w:link w:val="BodyText3Char"/>
    <w:uiPriority w:val="99"/>
    <w:unhideWhenUsed/>
    <w:rsid w:val="00AA1D8D"/>
    <w:pPr>
      <w:spacing w:after="120"/>
    </w:pPr>
    <w:rPr>
      <w:rFonts w:ascii="Avenir" w:hAnsi="Avenir" w:eastAsia="Avenir" w:cs="Avenir"/>
      <w:sz w:val="16"/>
      <w:szCs w:val="16"/>
    </w:rPr>
  </w:style>
  <w:style w:type="character" w:customStyle="1" w:styleId="BodyText3Char">
    <w:name w:val="Body Text 3 Char"/>
    <w:basedOn w:val="DefaultParagraphFont"/>
    <w:link w:val="BodyText3"/>
    <w:uiPriority w:val="99"/>
    <w:rsid w:val="00AA1D8D"/>
    <w:rPr>
      <w:rFonts w:ascii="Avenir" w:hAnsi="Avenir" w:eastAsia="Avenir" w:cs="Avenir"/>
      <w:sz w:val="16"/>
      <w:szCs w:val="16"/>
    </w:rPr>
  </w:style>
  <w:style w:type="paragraph" w:styleId="List">
    <w:name w:val="List"/>
    <w:basedOn w:val="Normal"/>
    <w:uiPriority w:val="99"/>
    <w:unhideWhenUsed/>
    <w:rsid w:val="00AA1D8D"/>
    <w:pPr>
      <w:ind w:left="360" w:hanging="360"/>
      <w:contextualSpacing/>
    </w:pPr>
    <w:rPr>
      <w:rFonts w:ascii="Avenir" w:hAnsi="Avenir" w:eastAsia="Avenir" w:cs="Avenir"/>
    </w:rPr>
  </w:style>
  <w:style w:type="paragraph" w:styleId="List2">
    <w:name w:val="List 2"/>
    <w:basedOn w:val="Normal"/>
    <w:uiPriority w:val="99"/>
    <w:unhideWhenUsed/>
    <w:rsid w:val="00326F90"/>
    <w:pPr>
      <w:ind w:left="720" w:hanging="360"/>
      <w:contextualSpacing/>
    </w:pPr>
    <w:rPr>
      <w:rFonts w:ascii="Avenir" w:hAnsi="Avenir" w:eastAsia="Avenir" w:cs="Avenir"/>
    </w:rPr>
  </w:style>
  <w:style w:type="paragraph" w:styleId="List3">
    <w:name w:val="List 3"/>
    <w:basedOn w:val="Normal"/>
    <w:uiPriority w:val="99"/>
    <w:unhideWhenUsed/>
    <w:rsid w:val="00326F90"/>
    <w:pPr>
      <w:ind w:left="1080" w:hanging="360"/>
      <w:contextualSpacing/>
    </w:pPr>
    <w:rPr>
      <w:rFonts w:ascii="Avenir" w:hAnsi="Avenir" w:eastAsia="Avenir" w:cs="Avenir"/>
    </w:rPr>
  </w:style>
  <w:style w:type="paragraph" w:styleId="ListBullet">
    <w:name w:val="List Bullet"/>
    <w:basedOn w:val="Normal"/>
    <w:uiPriority w:val="99"/>
    <w:unhideWhenUsed/>
    <w:rsid w:val="00326F90"/>
    <w:pPr>
      <w:numPr>
        <w:numId w:val="1"/>
      </w:numPr>
      <w:contextualSpacing/>
    </w:pPr>
    <w:rPr>
      <w:rFonts w:ascii="Avenir" w:hAnsi="Avenir" w:eastAsia="Avenir" w:cs="Avenir"/>
    </w:rPr>
  </w:style>
  <w:style w:type="paragraph" w:styleId="ListBullet2">
    <w:name w:val="List Bullet 2"/>
    <w:basedOn w:val="Normal"/>
    <w:uiPriority w:val="99"/>
    <w:unhideWhenUsed/>
    <w:rsid w:val="00326F90"/>
    <w:pPr>
      <w:numPr>
        <w:numId w:val="2"/>
      </w:numPr>
      <w:contextualSpacing/>
    </w:pPr>
    <w:rPr>
      <w:rFonts w:ascii="Avenir" w:hAnsi="Avenir" w:eastAsia="Avenir" w:cs="Avenir"/>
    </w:rPr>
  </w:style>
  <w:style w:type="paragraph" w:styleId="ListBullet3">
    <w:name w:val="List Bullet 3"/>
    <w:basedOn w:val="Normal"/>
    <w:uiPriority w:val="99"/>
    <w:unhideWhenUsed/>
    <w:rsid w:val="00326F90"/>
    <w:pPr>
      <w:numPr>
        <w:numId w:val="3"/>
      </w:numPr>
      <w:contextualSpacing/>
    </w:pPr>
    <w:rPr>
      <w:rFonts w:ascii="Avenir" w:hAnsi="Avenir" w:eastAsia="Avenir" w:cs="Avenir"/>
    </w:rPr>
  </w:style>
  <w:style w:type="paragraph" w:styleId="ListNumber">
    <w:name w:val="List Number"/>
    <w:basedOn w:val="Normal"/>
    <w:uiPriority w:val="99"/>
    <w:unhideWhenUsed/>
    <w:rsid w:val="00326F90"/>
    <w:pPr>
      <w:numPr>
        <w:numId w:val="5"/>
      </w:numPr>
      <w:contextualSpacing/>
    </w:pPr>
    <w:rPr>
      <w:rFonts w:ascii="Avenir" w:hAnsi="Avenir" w:eastAsia="Avenir" w:cs="Avenir"/>
    </w:rPr>
  </w:style>
  <w:style w:type="paragraph" w:styleId="ListNumber2">
    <w:name w:val="List Number 2"/>
    <w:basedOn w:val="Normal"/>
    <w:uiPriority w:val="99"/>
    <w:unhideWhenUsed/>
    <w:rsid w:val="0029639D"/>
    <w:pPr>
      <w:numPr>
        <w:numId w:val="6"/>
      </w:numPr>
      <w:contextualSpacing/>
    </w:pPr>
    <w:rPr>
      <w:rFonts w:ascii="Avenir" w:hAnsi="Avenir" w:eastAsia="Avenir" w:cs="Avenir"/>
    </w:rPr>
  </w:style>
  <w:style w:type="paragraph" w:styleId="ListNumber3">
    <w:name w:val="List Number 3"/>
    <w:basedOn w:val="Normal"/>
    <w:uiPriority w:val="99"/>
    <w:unhideWhenUsed/>
    <w:rsid w:val="0029639D"/>
    <w:pPr>
      <w:numPr>
        <w:numId w:val="7"/>
      </w:numPr>
      <w:contextualSpacing/>
    </w:pPr>
    <w:rPr>
      <w:rFonts w:ascii="Avenir" w:hAnsi="Avenir" w:eastAsia="Avenir" w:cs="Avenir"/>
    </w:rPr>
  </w:style>
  <w:style w:type="paragraph" w:styleId="ListContinue">
    <w:name w:val="List Continue"/>
    <w:basedOn w:val="Normal"/>
    <w:uiPriority w:val="99"/>
    <w:unhideWhenUsed/>
    <w:rsid w:val="0029639D"/>
    <w:pPr>
      <w:spacing w:after="120"/>
      <w:ind w:left="360"/>
      <w:contextualSpacing/>
    </w:pPr>
    <w:rPr>
      <w:rFonts w:ascii="Avenir" w:hAnsi="Avenir" w:eastAsia="Avenir" w:cs="Avenir"/>
    </w:rPr>
  </w:style>
  <w:style w:type="paragraph" w:styleId="ListContinue2">
    <w:name w:val="List Continue 2"/>
    <w:basedOn w:val="Normal"/>
    <w:uiPriority w:val="99"/>
    <w:unhideWhenUsed/>
    <w:rsid w:val="0029639D"/>
    <w:pPr>
      <w:spacing w:after="120"/>
      <w:ind w:left="720"/>
      <w:contextualSpacing/>
    </w:pPr>
    <w:rPr>
      <w:rFonts w:ascii="Avenir" w:hAnsi="Avenir" w:eastAsia="Avenir" w:cs="Avenir"/>
    </w:rPr>
  </w:style>
  <w:style w:type="paragraph" w:styleId="ListContinue3">
    <w:name w:val="List Continue 3"/>
    <w:basedOn w:val="Normal"/>
    <w:uiPriority w:val="99"/>
    <w:unhideWhenUsed/>
    <w:rsid w:val="0029639D"/>
    <w:pPr>
      <w:spacing w:after="120"/>
      <w:ind w:left="1080"/>
      <w:contextualSpacing/>
    </w:pPr>
    <w:rPr>
      <w:rFonts w:ascii="Avenir" w:hAnsi="Avenir" w:eastAsia="Avenir" w:cs="Avenir"/>
    </w:r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Avenir" w:hAnsi="Avenir" w:eastAsia="Avenir" w:cs="Avenir"/>
      <w:sz w:val="20"/>
      <w:szCs w:val="20"/>
    </w:rPr>
  </w:style>
  <w:style w:type="character" w:customStyle="1" w:styleId="MacroTextChar">
    <w:name w:val="Macro Text Char"/>
    <w:basedOn w:val="DefaultParagraphFont"/>
    <w:link w:val="MacroText"/>
    <w:uiPriority w:val="99"/>
    <w:rsid w:val="0029639D"/>
    <w:rPr>
      <w:rFonts w:ascii="Avenir" w:hAnsi="Avenir" w:eastAsia="Avenir" w:cs="Avenir"/>
      <w:sz w:val="20"/>
      <w:szCs w:val="20"/>
    </w:rPr>
  </w:style>
  <w:style w:type="paragraph" w:styleId="Quote">
    <w:name w:val="Quote"/>
    <w:basedOn w:val="Normal"/>
    <w:next w:val="Normal"/>
    <w:link w:val="QuoteChar"/>
    <w:uiPriority w:val="29"/>
    <w:qFormat/>
    <w:rsid w:val="00FC693F"/>
    <w:rPr>
      <w:rFonts w:ascii="Avenir" w:hAnsi="Avenir" w:eastAsia="Avenir" w:cs="Avenir"/>
      <w:i/>
      <w:iCs/>
      <w:color w:val="000000" w:themeColor="text1"/>
    </w:rPr>
  </w:style>
  <w:style w:type="character" w:customStyle="1" w:styleId="QuoteChar">
    <w:name w:val="Quote Char"/>
    <w:basedOn w:val="DefaultParagraphFont"/>
    <w:link w:val="Quote"/>
    <w:uiPriority w:val="29"/>
    <w:rsid w:val="00FC693F"/>
    <w:rPr>
      <w:rFonts w:ascii="Avenir" w:hAnsi="Avenir" w:eastAsia="Avenir" w:cs="Avenir"/>
      <w:i/>
      <w:iCs/>
      <w:color w:val="000000" w:themeColor="text1"/>
    </w:rPr>
  </w:style>
  <w:style w:type="character" w:customStyle="1" w:styleId="Heading4Char">
    <w:name w:val="Heading 4 Char"/>
    <w:basedOn w:val="DefaultParagraphFont"/>
    <w:link w:val="Heading4"/>
    <w:uiPriority w:val="9"/>
    <w:semiHidden/>
    <w:rsid w:val="00FC693F"/>
    <w:rPr>
      <w:rFonts w:ascii="Avenir" w:hAnsi="Avenir" w:eastAsia="Avenir" w:cs="Avenir"/>
      <w:b/>
      <w:bCs/>
      <w:i/>
      <w:iCs/>
      <w:color w:val="4F81BD" w:themeColor="accent1"/>
    </w:rPr>
  </w:style>
  <w:style w:type="character" w:customStyle="1" w:styleId="Heading5Char">
    <w:name w:val="Heading 5 Char"/>
    <w:basedOn w:val="DefaultParagraphFont"/>
    <w:link w:val="Heading5"/>
    <w:uiPriority w:val="9"/>
    <w:semiHidden/>
    <w:rsid w:val="00FC693F"/>
    <w:rPr>
      <w:rFonts w:ascii="Avenir" w:hAnsi="Avenir" w:eastAsia="Avenir" w:cs="Avenir"/>
      <w:color w:val="243F60" w:themeColor="accent1" w:themeShade="7F"/>
    </w:rPr>
  </w:style>
  <w:style w:type="character" w:customStyle="1" w:styleId="Heading6Char">
    <w:name w:val="Heading 6 Char"/>
    <w:basedOn w:val="DefaultParagraphFont"/>
    <w:link w:val="Heading6"/>
    <w:uiPriority w:val="9"/>
    <w:semiHidden/>
    <w:rsid w:val="00FC693F"/>
    <w:rPr>
      <w:rFonts w:ascii="Avenir" w:hAnsi="Avenir" w:eastAsia="Avenir" w:cs="Avenir"/>
      <w:i/>
      <w:iCs/>
      <w:color w:val="243F60" w:themeColor="accent1" w:themeShade="7F"/>
    </w:rPr>
  </w:style>
  <w:style w:type="character" w:customStyle="1" w:styleId="Heading7Char">
    <w:name w:val="Heading 7 Char"/>
    <w:basedOn w:val="DefaultParagraphFont"/>
    <w:link w:val="Heading7"/>
    <w:uiPriority w:val="9"/>
    <w:semiHidden/>
    <w:rsid w:val="00FC693F"/>
    <w:rPr>
      <w:rFonts w:ascii="Avenir" w:hAnsi="Avenir" w:eastAsia="Avenir" w:cs="Avenir"/>
      <w:i/>
      <w:iCs/>
      <w:color w:val="404040" w:themeColor="text1" w:themeTint="BF"/>
    </w:rPr>
  </w:style>
  <w:style w:type="character" w:customStyle="1" w:styleId="Heading8Char">
    <w:name w:val="Heading 8 Char"/>
    <w:basedOn w:val="DefaultParagraphFont"/>
    <w:link w:val="Heading8"/>
    <w:uiPriority w:val="9"/>
    <w:semiHidden/>
    <w:rsid w:val="00FC693F"/>
    <w:rPr>
      <w:rFonts w:ascii="Avenir" w:hAnsi="Avenir" w:eastAsia="Avenir" w:cs="Avenir"/>
      <w:color w:val="4F81BD" w:themeColor="accent1"/>
      <w:sz w:val="20"/>
      <w:szCs w:val="20"/>
    </w:rPr>
  </w:style>
  <w:style w:type="character" w:customStyle="1" w:styleId="Heading9Char">
    <w:name w:val="Heading 9 Char"/>
    <w:basedOn w:val="DefaultParagraphFont"/>
    <w:link w:val="Heading9"/>
    <w:uiPriority w:val="9"/>
    <w:semiHidden/>
    <w:rsid w:val="00FC693F"/>
    <w:rPr>
      <w:rFonts w:ascii="Avenir" w:hAnsi="Avenir" w:eastAsia="Avenir" w:cs="Avenir"/>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rFonts w:ascii="Avenir" w:hAnsi="Avenir" w:eastAsia="Avenir" w:cs="Avenir"/>
      <w:b/>
      <w:bCs/>
      <w:i/>
      <w:color w:val="6E4A5A"/>
      <w:sz w:val="17"/>
      <w:szCs w:val="18"/>
    </w:rPr>
  </w:style>
  <w:style w:type="character" w:styleId="Strong">
    <w:name w:val="Strong"/>
    <w:basedOn w:val="DefaultParagraphFont"/>
    <w:uiPriority w:val="22"/>
    <w:qFormat/>
    <w:rsid w:val="00FC693F"/>
    <w:rPr>
      <w:rFonts w:ascii="Avenir" w:hAnsi="Avenir" w:eastAsia="Avenir" w:cs="Avenir"/>
      <w:b/>
      <w:bCs/>
    </w:rPr>
  </w:style>
  <w:style w:type="character" w:styleId="Emphasis">
    <w:name w:val="Emphasis"/>
    <w:basedOn w:val="DefaultParagraphFont"/>
    <w:uiPriority w:val="20"/>
    <w:qFormat/>
    <w:rsid w:val="00FC693F"/>
    <w:rPr>
      <w:rFonts w:ascii="Avenir" w:hAnsi="Avenir" w:eastAsia="Avenir" w:cs="Aveni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rFonts w:ascii="Avenir" w:hAnsi="Avenir" w:eastAsia="Avenir" w:cs="Avenir"/>
      <w:b/>
      <w:bCs/>
      <w:i/>
      <w:iCs/>
      <w:color w:val="4F81BD" w:themeColor="accent1"/>
    </w:rPr>
  </w:style>
  <w:style w:type="character" w:customStyle="1" w:styleId="IntenseQuoteChar">
    <w:name w:val="Intense Quote Char"/>
    <w:basedOn w:val="DefaultParagraphFont"/>
    <w:link w:val="IntenseQuote"/>
    <w:uiPriority w:val="30"/>
    <w:rsid w:val="00FC693F"/>
    <w:rPr>
      <w:rFonts w:ascii="Avenir" w:hAnsi="Avenir" w:eastAsia="Avenir" w:cs="Avenir"/>
      <w:b/>
      <w:bCs/>
      <w:i/>
      <w:iCs/>
      <w:color w:val="4F81BD" w:themeColor="accent1"/>
    </w:rPr>
  </w:style>
  <w:style w:type="character" w:styleId="SubtleEmphasis">
    <w:name w:val="Subtle Emphasis"/>
    <w:basedOn w:val="DefaultParagraphFont"/>
    <w:uiPriority w:val="19"/>
    <w:qFormat/>
    <w:rsid w:val="00FC693F"/>
    <w:rPr>
      <w:rFonts w:ascii="Avenir" w:hAnsi="Avenir" w:eastAsia="Avenir" w:cs="Avenir"/>
      <w:i/>
      <w:iCs/>
      <w:color w:val="808080" w:themeColor="text1" w:themeTint="7F"/>
    </w:rPr>
  </w:style>
  <w:style w:type="character" w:styleId="IntenseEmphasis">
    <w:name w:val="Intense Emphasis"/>
    <w:basedOn w:val="DefaultParagraphFont"/>
    <w:uiPriority w:val="21"/>
    <w:qFormat/>
    <w:rsid w:val="00FC693F"/>
    <w:rPr>
      <w:rFonts w:ascii="Avenir" w:hAnsi="Avenir" w:eastAsia="Avenir" w:cs="Avenir"/>
      <w:b/>
      <w:bCs/>
      <w:i/>
      <w:iCs/>
      <w:color w:val="4F81BD" w:themeColor="accent1"/>
    </w:rPr>
  </w:style>
  <w:style w:type="character" w:styleId="SubtleReference">
    <w:name w:val="Subtle Reference"/>
    <w:basedOn w:val="DefaultParagraphFont"/>
    <w:uiPriority w:val="31"/>
    <w:qFormat/>
    <w:rsid w:val="00FC693F"/>
    <w:rPr>
      <w:rFonts w:ascii="Avenir" w:hAnsi="Avenir" w:eastAsia="Avenir" w:cs="Avenir"/>
      <w:smallCaps/>
      <w:color w:val="C0504D" w:themeColor="accent2"/>
      <w:u w:val="single"/>
    </w:rPr>
  </w:style>
  <w:style w:type="character" w:styleId="IntenseReference">
    <w:name w:val="Intense Reference"/>
    <w:basedOn w:val="DefaultParagraphFont"/>
    <w:uiPriority w:val="32"/>
    <w:qFormat/>
    <w:rsid w:val="00FC693F"/>
    <w:rPr>
      <w:rFonts w:ascii="Avenir" w:hAnsi="Avenir" w:eastAsia="Avenir" w:cs="Avenir"/>
      <w:b/>
      <w:bCs/>
      <w:smallCaps/>
      <w:color w:val="C0504D" w:themeColor="accent2"/>
      <w:spacing w:val="5"/>
      <w:u w:val="single"/>
    </w:rPr>
  </w:style>
  <w:style w:type="character" w:styleId="BookTitle">
    <w:name w:val="Book Title"/>
    <w:basedOn w:val="DefaultParagraphFont"/>
    <w:uiPriority w:val="33"/>
    <w:qFormat/>
    <w:rsid w:val="00FC693F"/>
    <w:rPr>
      <w:rFonts w:ascii="Avenir" w:hAnsi="Avenir" w:eastAsia="Avenir" w:cs="Avenir"/>
      <w:b/>
      <w:bCs/>
      <w:smallCaps/>
      <w:spacing w:val="5"/>
    </w:rPr>
  </w:style>
  <w:style w:type="paragraph" w:styleId="TOCHeading">
    <w:name w:val="TOC Heading"/>
    <w:basedOn w:val="Heading1"/>
    <w:next w:val="Normal"/>
    <w:uiPriority w:val="39"/>
    <w:semiHidden/>
    <w:unhideWhenUsed/>
    <w:qFormat/>
    <w:rsid w:val="00FC693F"/>
    <w:pPr>
      <w:outlineLvl w:val="9"/>
    </w:pPr>
    <w:rPr>
      <w:rFonts w:ascii="Avenir" w:hAnsi="Avenir" w:eastAsia="Avenir" w:cs="Avenir"/>
    </w:r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rPr>
      <w:rFonts w:ascii="Avenir" w:hAnsi="Avenir" w:eastAsia="Avenir" w:cs="Avenir"/>
    </w:rPr>
  </w:style>
  <w:style w:type="table" w:styleId="LightShading">
    <w:name w:val="Light Shading"/>
    <w:basedOn w:val="TableNormal"/>
    <w:uiPriority w:val="60"/>
    <w:rsid w:val="00FC693F"/>
    <w:pPr>
      <w:spacing w:after="0" w:line="240" w:lineRule="auto"/>
    </w:pPr>
    <w:rPr>
      <w:rFonts w:ascii="Avenir" w:hAnsi="Avenir" w:eastAsia="Avenir" w:cs="Aveni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rFonts w:ascii="Avenir" w:hAnsi="Avenir" w:eastAsia="Avenir" w:cs="Aveni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rFonts w:ascii="Avenir" w:hAnsi="Avenir" w:eastAsia="Avenir" w:cs="Aveni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rFonts w:ascii="Avenir" w:hAnsi="Avenir" w:eastAsia="Avenir" w:cs="Aveni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rFonts w:ascii="Avenir" w:hAnsi="Avenir" w:eastAsia="Avenir" w:cs="Aveni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rFonts w:ascii="Avenir" w:hAnsi="Avenir" w:eastAsia="Avenir" w:cs="Aveni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rFonts w:ascii="Avenir" w:hAnsi="Avenir" w:eastAsia="Avenir" w:cs="Aveni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rPr>
      <w:rFonts w:ascii="Avenir" w:hAnsi="Avenir" w:eastAsia="Avenir" w:cs="Avenir"/>
    </w:r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rPr>
      <w:rFonts w:ascii="Avenir" w:hAnsi="Avenir" w:eastAsia="Avenir" w:cs="Avenir"/>
    </w:r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rPr>
      <w:rFonts w:ascii="Avenir" w:hAnsi="Avenir" w:eastAsia="Avenir" w:cs="Avenir"/>
    </w:r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rPr>
      <w:rFonts w:ascii="Avenir" w:hAnsi="Avenir" w:eastAsia="Avenir" w:cs="Avenir"/>
    </w:r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rPr>
      <w:rFonts w:ascii="Avenir" w:hAnsi="Avenir" w:eastAsia="Avenir" w:cs="Avenir"/>
    </w:r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rPr>
      <w:rFonts w:ascii="Avenir" w:hAnsi="Avenir" w:eastAsia="Avenir" w:cs="Avenir"/>
    </w:r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rPr>
      <w:rFonts w:ascii="Avenir" w:hAnsi="Avenir" w:eastAsia="Avenir" w:cs="Avenir"/>
    </w:r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rPr>
      <w:rFonts w:ascii="Avenir" w:hAnsi="Avenir" w:eastAsia="Avenir" w:cs="Avenir"/>
    </w:r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rPr>
      <w:rFonts w:ascii="Avenir" w:hAnsi="Avenir" w:eastAsia="Avenir" w:cs="Avenir"/>
    </w:r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rPr>
      <w:rFonts w:ascii="Avenir" w:hAnsi="Avenir" w:eastAsia="Avenir" w:cs="Avenir"/>
    </w:r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rPr>
      <w:rFonts w:ascii="Avenir" w:hAnsi="Avenir" w:eastAsia="Avenir" w:cs="Avenir"/>
    </w:r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rPr>
      <w:rFonts w:ascii="Avenir" w:hAnsi="Avenir" w:eastAsia="Avenir" w:cs="Avenir"/>
    </w:r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rPr>
      <w:rFonts w:ascii="Avenir" w:hAnsi="Avenir" w:eastAsia="Avenir" w:cs="Avenir"/>
    </w:r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rPr>
      <w:rFonts w:ascii="Avenir" w:hAnsi="Avenir" w:eastAsia="Avenir" w:cs="Avenir"/>
    </w:r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rPr>
      <w:rFonts w:ascii="Avenir" w:hAnsi="Avenir" w:eastAsia="Avenir" w:cs="Avenir"/>
    </w:r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rPr>
      <w:rFonts w:ascii="Avenir" w:hAnsi="Avenir" w:eastAsia="Avenir" w:cs="Avenir"/>
    </w:r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rPr>
      <w:rFonts w:ascii="Avenir" w:hAnsi="Avenir" w:eastAsia="Avenir" w:cs="Avenir"/>
    </w:r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rPr>
      <w:rFonts w:ascii="Avenir" w:hAnsi="Avenir" w:eastAsia="Avenir" w:cs="Avenir"/>
    </w:r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rPr>
      <w:rFonts w:ascii="Avenir" w:hAnsi="Avenir" w:eastAsia="Avenir" w:cs="Avenir"/>
    </w:r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rPr>
      <w:rFonts w:ascii="Avenir" w:hAnsi="Avenir" w:eastAsia="Avenir" w:cs="Avenir"/>
    </w:r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rPr>
      <w:rFonts w:ascii="Avenir" w:hAnsi="Avenir" w:eastAsia="Avenir" w:cs="Avenir"/>
    </w:r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rPr>
      <w:rFonts w:ascii="Avenir" w:hAnsi="Avenir" w:eastAsia="Avenir" w:cs="Avenir"/>
    </w:r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rPr>
      <w:rFonts w:ascii="Avenir" w:hAnsi="Avenir" w:eastAsia="Avenir" w:cs="Avenir"/>
    </w:r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rPr>
      <w:rFonts w:ascii="Avenir" w:hAnsi="Avenir" w:eastAsia="Avenir" w:cs="Avenir"/>
    </w:r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rPr>
      <w:rFonts w:ascii="Avenir" w:hAnsi="Avenir" w:eastAsia="Avenir" w:cs="Avenir"/>
    </w:r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rPr>
      <w:rFonts w:ascii="Avenir" w:hAnsi="Avenir" w:eastAsia="Avenir" w:cs="Avenir"/>
    </w:r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rPr>
      <w:rFonts w:ascii="Avenir" w:hAnsi="Avenir" w:eastAsia="Avenir" w:cs="Avenir"/>
    </w:r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rPr>
      <w:rFonts w:ascii="Avenir" w:hAnsi="Avenir" w:eastAsia="Avenir" w:cs="Avenir"/>
    </w:rPr>
  </w:style>
  <w:style w:type="table" w:styleId="MediumList1">
    <w:name w:val="Medium List 1"/>
    <w:basedOn w:val="TableNormal"/>
    <w:uiPriority w:val="65"/>
    <w:rsid w:val="00CB0664"/>
    <w:pPr>
      <w:spacing w:after="0" w:line="240" w:lineRule="auto"/>
    </w:pPr>
    <w:rPr>
      <w:rFonts w:ascii="Avenir" w:hAnsi="Avenir" w:eastAsia="Avenir" w:cs="Aveni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rFonts w:ascii="Avenir" w:hAnsi="Avenir" w:eastAsia="Avenir" w:cs="Aveni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rFonts w:ascii="Avenir" w:hAnsi="Avenir" w:eastAsia="Avenir" w:cs="Aveni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rFonts w:ascii="Avenir" w:hAnsi="Avenir" w:eastAsia="Avenir" w:cs="Aveni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rFonts w:ascii="Avenir" w:hAnsi="Avenir" w:eastAsia="Avenir" w:cs="Aveni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rFonts w:ascii="Avenir" w:hAnsi="Avenir" w:eastAsia="Avenir" w:cs="Aveni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rFonts w:ascii="Avenir" w:hAnsi="Avenir" w:eastAsia="Avenir" w:cs="Aveni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Avenir" w:hAnsi="Avenir" w:eastAsia="Avenir" w:cs="Avenir"/>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Avenir" w:hAnsi="Avenir" w:eastAsia="Avenir" w:cs="Avenir"/>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Avenir" w:hAnsi="Avenir" w:eastAsia="Avenir" w:cs="Avenir"/>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Avenir" w:hAnsi="Avenir" w:eastAsia="Avenir" w:cs="Avenir"/>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Avenir" w:hAnsi="Avenir" w:eastAsia="Avenir" w:cs="Avenir"/>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Avenir" w:hAnsi="Avenir" w:eastAsia="Avenir" w:cs="Avenir"/>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Avenir" w:hAnsi="Avenir" w:eastAsia="Avenir" w:cs="Avenir"/>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rPr>
      <w:rFonts w:ascii="Avenir" w:hAnsi="Avenir" w:eastAsia="Avenir" w:cs="Avenir"/>
    </w:r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rPr>
      <w:rFonts w:ascii="Avenir" w:hAnsi="Avenir" w:eastAsia="Avenir" w:cs="Avenir"/>
    </w:r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rPr>
      <w:rFonts w:ascii="Avenir" w:hAnsi="Avenir" w:eastAsia="Avenir" w:cs="Avenir"/>
    </w:r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rPr>
      <w:rFonts w:ascii="Avenir" w:hAnsi="Avenir" w:eastAsia="Avenir" w:cs="Avenir"/>
    </w:r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rPr>
      <w:rFonts w:ascii="Avenir" w:hAnsi="Avenir" w:eastAsia="Avenir" w:cs="Avenir"/>
    </w:r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rPr>
      <w:rFonts w:ascii="Avenir" w:hAnsi="Avenir" w:eastAsia="Avenir" w:cs="Avenir"/>
    </w:r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rPr>
      <w:rFonts w:ascii="Avenir" w:hAnsi="Avenir" w:eastAsia="Avenir" w:cs="Avenir"/>
    </w:rPr>
  </w:style>
  <w:style w:type="table" w:styleId="MediumGrid2">
    <w:name w:val="Medium Grid 2"/>
    <w:basedOn w:val="TableNormal"/>
    <w:uiPriority w:val="68"/>
    <w:rsid w:val="00CB0664"/>
    <w:pPr>
      <w:spacing w:after="0" w:line="240" w:lineRule="auto"/>
    </w:pPr>
    <w:rPr>
      <w:rFonts w:ascii="Avenir" w:hAnsi="Avenir" w:eastAsia="Avenir" w:cs="Avenir"/>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Avenir" w:hAnsi="Avenir" w:eastAsia="Avenir" w:cs="Avenir"/>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Avenir" w:hAnsi="Avenir" w:eastAsia="Avenir" w:cs="Avenir"/>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Avenir" w:hAnsi="Avenir" w:eastAsia="Avenir" w:cs="Avenir"/>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Avenir" w:hAnsi="Avenir" w:eastAsia="Avenir" w:cs="Avenir"/>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Avenir" w:hAnsi="Avenir" w:eastAsia="Avenir" w:cs="Avenir"/>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Avenir" w:hAnsi="Avenir" w:eastAsia="Avenir" w:cs="Avenir"/>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rPr>
      <w:rFonts w:ascii="Avenir" w:hAnsi="Avenir" w:eastAsia="Avenir" w:cs="Avenir"/>
    </w:r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rPr>
      <w:rFonts w:ascii="Avenir" w:hAnsi="Avenir" w:eastAsia="Avenir" w:cs="Avenir"/>
    </w:r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rPr>
      <w:rFonts w:ascii="Avenir" w:hAnsi="Avenir" w:eastAsia="Avenir" w:cs="Avenir"/>
    </w:r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rPr>
      <w:rFonts w:ascii="Avenir" w:hAnsi="Avenir" w:eastAsia="Avenir" w:cs="Avenir"/>
    </w:r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rPr>
      <w:rFonts w:ascii="Avenir" w:hAnsi="Avenir" w:eastAsia="Avenir" w:cs="Avenir"/>
    </w:r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rPr>
      <w:rFonts w:ascii="Avenir" w:hAnsi="Avenir" w:eastAsia="Avenir" w:cs="Avenir"/>
    </w:r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rPr>
      <w:rFonts w:ascii="Avenir" w:hAnsi="Avenir" w:eastAsia="Avenir" w:cs="Avenir"/>
    </w:rPr>
  </w:style>
  <w:style w:type="table" w:styleId="DarkList">
    <w:name w:val="Dark List"/>
    <w:basedOn w:val="TableNormal"/>
    <w:uiPriority w:val="70"/>
    <w:rsid w:val="00CB0664"/>
    <w:pPr>
      <w:spacing w:after="0" w:line="240" w:lineRule="auto"/>
    </w:pPr>
    <w:rPr>
      <w:rFonts w:ascii="Avenir" w:hAnsi="Avenir" w:eastAsia="Avenir" w:cs="Aveni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rFonts w:ascii="Avenir" w:hAnsi="Avenir" w:eastAsia="Avenir" w:cs="Aveni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rFonts w:ascii="Avenir" w:hAnsi="Avenir" w:eastAsia="Avenir" w:cs="Aveni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rFonts w:ascii="Avenir" w:hAnsi="Avenir" w:eastAsia="Avenir" w:cs="Aveni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rFonts w:ascii="Avenir" w:hAnsi="Avenir" w:eastAsia="Avenir" w:cs="Aveni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rFonts w:ascii="Avenir" w:hAnsi="Avenir" w:eastAsia="Avenir" w:cs="Aveni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rFonts w:ascii="Avenir" w:hAnsi="Avenir" w:eastAsia="Avenir" w:cs="Aveni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rFonts w:ascii="Avenir" w:hAnsi="Avenir" w:eastAsia="Avenir" w:cs="Aveni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rFonts w:ascii="Avenir" w:hAnsi="Avenir" w:eastAsia="Avenir" w:cs="Aveni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rFonts w:ascii="Avenir" w:hAnsi="Avenir" w:eastAsia="Avenir" w:cs="Aveni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rFonts w:ascii="Avenir" w:hAnsi="Avenir" w:eastAsia="Avenir" w:cs="Aveni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rFonts w:ascii="Avenir" w:hAnsi="Avenir" w:eastAsia="Avenir" w:cs="Aveni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rFonts w:ascii="Avenir" w:hAnsi="Avenir" w:eastAsia="Avenir" w:cs="Aveni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rFonts w:ascii="Avenir" w:hAnsi="Avenir" w:eastAsia="Avenir" w:cs="Aveni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rFonts w:ascii="Avenir" w:hAnsi="Avenir" w:eastAsia="Avenir" w:cs="Aveni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rFonts w:ascii="Avenir" w:hAnsi="Avenir" w:eastAsia="Avenir" w:cs="Aveni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rFonts w:ascii="Avenir" w:hAnsi="Avenir" w:eastAsia="Avenir" w:cs="Aveni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rFonts w:ascii="Avenir" w:hAnsi="Avenir" w:eastAsia="Avenir" w:cs="Aveni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rFonts w:ascii="Avenir" w:hAnsi="Avenir" w:eastAsia="Avenir" w:cs="Aveni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rFonts w:ascii="Avenir" w:hAnsi="Avenir" w:eastAsia="Avenir" w:cs="Aveni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rFonts w:ascii="Avenir" w:hAnsi="Avenir" w:eastAsia="Avenir" w:cs="Aveni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rFonts w:ascii="Avenir" w:hAnsi="Avenir" w:eastAsia="Avenir" w:cs="Aveni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rFonts w:ascii="Avenir" w:hAnsi="Avenir" w:eastAsia="Avenir" w:cs="Aveni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rFonts w:ascii="Avenir" w:hAnsi="Avenir" w:eastAsia="Avenir" w:cs="Aveni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rFonts w:ascii="Avenir" w:hAnsi="Avenir" w:eastAsia="Avenir" w:cs="Aveni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rFonts w:ascii="Avenir" w:hAnsi="Avenir" w:eastAsia="Avenir" w:cs="Aveni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rFonts w:ascii="Avenir" w:hAnsi="Avenir" w:eastAsia="Avenir" w:cs="Aveni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rFonts w:ascii="Avenir" w:hAnsi="Avenir" w:eastAsia="Avenir" w:cs="Aveni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cs231n.stanford.edu/" TargetMode="External"/><Relationship Id="rId12" Type="http://schemas.openxmlformats.org/officeDocument/2006/relationships/hyperlink" Target="https://openreview.net/forum?id=YicbFdNTTy" TargetMode="External"/><Relationship Id="rId13" Type="http://schemas.openxmlformats.org/officeDocument/2006/relationships/hyperlink" Target="https://proceedings.mlr.press/v139/radford21a.html" TargetMode="External"/><Relationship Id="rId14" Type="http://schemas.openxmlformats.org/officeDocument/2006/relationships/hyperlink" Target="https://data.vision.ee.ethz.ch/cvl/datasets_extra/food-101/" TargetMode="External"/><Relationship Id="rId15" Type="http://schemas.openxmlformats.org/officeDocument/2006/relationships/hyperlink" Target="https://proceedings.mlr.press/v70/guo17a.html" TargetMode="External"/><Relationship Id="rId16" Type="http://schemas.openxmlformats.org/officeDocument/2006/relationships/hyperlink" Target="https://ieeexplore.ieee.org/document/7410503/" TargetMode="External"/><Relationship Id="rId17" Type="http://schemas.openxmlformats.org/officeDocument/2006/relationships/hyperlink" Target="https://arxiv.org/abs/2103.03375" TargetMode="External"/><Relationship Id="rId18" Type="http://schemas.openxmlformats.org/officeDocument/2006/relationships/hyperlink" Target="https://developer.apple.com/documentation/arkit/displaying-a-point-cloud-using-scene-depth" TargetMode="External"/><Relationship Id="rId19" Type="http://schemas.openxmlformats.org/officeDocument/2006/relationships/hyperlink" Target="https://fdc.nal.usda.gov/api-guide" TargetMode="External"/><Relationship Id="rId20" Type="http://schemas.openxmlformats.org/officeDocument/2006/relationships/hyperlink" Target="https://proceedings.neurips.cc/paper/7181-attention-is-all-you-need" TargetMode="External"/><Relationship Id="rId21" Type="http://schemas.openxmlformats.org/officeDocument/2006/relationships/hyperlink" Target="https://www.who.int/publications/i/item/9789240084759" TargetMode="External"/><Relationship Id="rId22" Type="http://schemas.openxmlformats.org/officeDocument/2006/relationships/hyperlink" Target="https://988lifeline.org/" TargetMode="External"/><Relationship Id="rId23" Type="http://schemas.openxmlformats.org/officeDocument/2006/relationships/hyperlink" Target="https://pubmed.ncbi.nlm.nih.gov/32740204/" TargetMode="External"/><Relationship Id="rId24" Type="http://schemas.openxmlformats.org/officeDocument/2006/relationships/hyperlink" Target="https://mhealth.jmir.org/2018/6/e10253/" TargetMode="External"/><Relationship Id="rId25" Type="http://schemas.openxmlformats.org/officeDocument/2006/relationships/hyperlink" Target="https://psychiatryonline.org/doi/10.1176/appi.ajp.23180001" TargetMode="External"/><Relationship Id="rId26" Type="http://schemas.openxmlformats.org/officeDocument/2006/relationships/hyperlink" Target="https://www.nice.org.uk/guidance/ng69" TargetMode="External"/><Relationship Id="rId27" Type="http://schemas.openxmlformats.org/officeDocument/2006/relationships/hyperlink" Target="https://www.nist.gov/itl/ai-risk-management-framework" TargetMode="External"/><Relationship Id="rId28" Type="http://schemas.openxmlformats.org/officeDocument/2006/relationships/hyperlink" Target="https://www.fda.gov/regulatory-information/search-fda-guidance-documents/clinical-decision-support-software" TargetMode="External"/><Relationship Id="rId29" Type="http://schemas.openxmlformats.org/officeDocument/2006/relationships/hyperlink" Target="https://www.getpippa.app/" TargetMode="External"/><Relationship Id="rId30" Type="http://schemas.openxmlformats.org/officeDocument/2006/relationships/hyperlink" Target="https://dashboard.getpippa.app/roster/demo" TargetMode="External"/><Relationship Id="rId31" Type="http://schemas.openxmlformats.org/officeDocument/2006/relationships/hyperlink" Target="https://clinics.getpippa.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venir"/>
        <a:ea typeface="Avenir"/>
        <a:cs typeface="Avenir"/>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venir"/>
        <a:ea typeface="Avenir"/>
        <a:cs typeface="Avenir"/>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 Pippa Uses Artificial Intelligence</dc:title>
  <dc:subject>Clinician overview of image recognition, supportive chat, and pattern-based care signals</dc:subject>
  <dc:creator>Pippa</dc:creator>
  <cp:keywords>Pippa, artificial intelligence, computer vision, eating disorder recovery, dietitian</cp:keywords>
  <dc:description>Prepared for clinical education and product transparency.</dc:description>
  <cp:lastModifiedBy/>
  <cp:revision>1</cp:revision>
  <dcterms:created xsi:type="dcterms:W3CDTF">2013-12-23T23:15:00Z</dcterms:created>
  <dcterms:modified xsi:type="dcterms:W3CDTF">2013-12-23T23:15:00Z</dcterms:modified>
  <cp:category/>
</cp:coreProperties>
</file>